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6134DB8">
      <w:pPr>
        <w:pStyle w:val="10"/>
        <w:widowControl w:val="0"/>
        <w:spacing w:line="560" w:lineRule="exact"/>
        <w:ind w:firstLine="0" w:firstLineChars="0"/>
        <w:jc w:val="center"/>
        <w:outlineLvl w:val="0"/>
        <w:rPr>
          <w:rFonts w:hint="eastAsia" w:ascii="Arial" w:hAnsi="Arial" w:eastAsia="黑体" w:cs="Arial"/>
          <w:color w:val="auto"/>
          <w:sz w:val="32"/>
          <w:szCs w:val="32"/>
          <w:highlight w:val="none"/>
          <w:lang w:val="en-US" w:eastAsia="zh-CN"/>
        </w:rPr>
      </w:pPr>
      <w:r>
        <w:rPr>
          <w:rFonts w:hint="eastAsia" w:ascii="方正小标宋_GBK" w:hAnsi="方正小标宋_GBK" w:eastAsia="方正小标宋_GBK" w:cs="方正小标宋_GBK"/>
          <w:b w:val="0"/>
          <w:bCs w:val="0"/>
          <w:color w:val="auto"/>
          <w:sz w:val="44"/>
          <w:szCs w:val="44"/>
          <w:highlight w:val="none"/>
          <w:lang w:val="en-US" w:eastAsia="zh-CN"/>
        </w:rPr>
        <w:t>负荷确认协议</w:t>
      </w:r>
    </w:p>
    <w:p w14:paraId="0E36D5CA">
      <w:pPr>
        <w:pStyle w:val="10"/>
        <w:pageBreakBefore w:val="0"/>
        <w:widowControl w:val="0"/>
        <w:kinsoku/>
        <w:wordWrap/>
        <w:overflowPunct/>
        <w:topLinePunct w:val="0"/>
        <w:autoSpaceDN/>
        <w:bidi w:val="0"/>
        <w:spacing w:line="560" w:lineRule="exact"/>
        <w:ind w:firstLine="643" w:firstLineChars="200"/>
        <w:textAlignment w:val="auto"/>
        <w:outlineLvl w:val="1"/>
        <w:rPr>
          <w:rFonts w:hint="default" w:ascii="仿宋_GB2312" w:hAnsi="仿宋_GB2312" w:eastAsia="仿宋_GB2312" w:cs="仿宋_GB2312"/>
          <w:color w:val="auto"/>
          <w:sz w:val="32"/>
          <w:szCs w:val="32"/>
          <w:highlight w:val="none"/>
          <w:u w:val="single"/>
          <w:lang w:val="en-US" w:eastAsia="zh-CN"/>
        </w:rPr>
      </w:pPr>
      <w:r>
        <w:rPr>
          <w:rFonts w:hint="eastAsia" w:ascii="仿宋_GB2312" w:hAnsi="仿宋_GB2312" w:eastAsia="仿宋_GB2312" w:cs="仿宋_GB2312"/>
          <w:color w:val="auto"/>
          <w:sz w:val="32"/>
          <w:szCs w:val="32"/>
          <w:highlight w:val="none"/>
          <w:lang w:val="en-US" w:eastAsia="zh-CN"/>
        </w:rPr>
        <w:t>甲方：</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eastAsia="仿宋_GB2312" w:cs="仿宋_GB2312"/>
          <w:b w:val="0"/>
          <w:bCs w:val="0"/>
          <w:color w:val="auto"/>
          <w:sz w:val="32"/>
          <w:szCs w:val="32"/>
          <w:highlight w:val="none"/>
          <w:u w:val="single"/>
          <w:lang w:val="en-US" w:eastAsia="zh-CN"/>
        </w:rPr>
        <w:t>广东省电力负荷管理中心</w:t>
      </w:r>
      <w:r>
        <w:rPr>
          <w:rFonts w:hint="eastAsia" w:ascii="仿宋_GB2312" w:hAnsi="仿宋_GB2312" w:eastAsia="仿宋_GB2312" w:cs="仿宋_GB2312"/>
          <w:color w:val="auto"/>
          <w:sz w:val="32"/>
          <w:szCs w:val="32"/>
          <w:highlight w:val="none"/>
          <w:u w:val="single"/>
          <w:lang w:val="en-US" w:eastAsia="zh-CN"/>
        </w:rPr>
        <w:t xml:space="preserve"> </w:t>
      </w:r>
      <w:r>
        <w:rPr>
          <w:rFonts w:hint="eastAsia" w:ascii="仿宋_GB2312" w:hAnsi="仿宋_GB2312" w:cs="仿宋_GB2312"/>
          <w:color w:val="auto"/>
          <w:sz w:val="32"/>
          <w:szCs w:val="32"/>
          <w:highlight w:val="none"/>
          <w:u w:val="single"/>
          <w:lang w:val="en-US" w:eastAsia="zh-CN"/>
        </w:rPr>
        <w:t xml:space="preserve"> </w:t>
      </w:r>
    </w:p>
    <w:p w14:paraId="12A4526A">
      <w:pPr>
        <w:pStyle w:val="10"/>
        <w:pageBreakBefore w:val="0"/>
        <w:widowControl w:val="0"/>
        <w:kinsoku/>
        <w:wordWrap/>
        <w:overflowPunct/>
        <w:topLinePunct w:val="0"/>
        <w:autoSpaceDN/>
        <w:bidi w:val="0"/>
        <w:spacing w:line="560" w:lineRule="exact"/>
        <w:ind w:firstLine="643" w:firstLineChars="200"/>
        <w:textAlignment w:val="auto"/>
        <w:outlineLvl w:val="1"/>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乙方：</w:t>
      </w:r>
      <w:r>
        <w:rPr>
          <w:rFonts w:hint="eastAsia" w:ascii="仿宋_GB2312" w:hAnsi="仿宋_GB2312" w:eastAsia="仿宋_GB2312" w:cs="仿宋_GB2312"/>
          <w:color w:val="auto"/>
          <w:sz w:val="32"/>
          <w:szCs w:val="32"/>
          <w:highlight w:val="none"/>
          <w:u w:val="single"/>
          <w:lang w:val="en-US" w:eastAsia="zh-CN"/>
        </w:rPr>
        <w:t xml:space="preserve">                         </w:t>
      </w:r>
    </w:p>
    <w:p w14:paraId="2A2ED61B">
      <w:pPr>
        <w:pStyle w:val="10"/>
        <w:keepNext w:val="0"/>
        <w:keepLines w:val="0"/>
        <w:pageBreakBefore w:val="0"/>
        <w:widowControl w:val="0"/>
        <w:kinsoku/>
        <w:wordWrap/>
        <w:overflowPunct/>
        <w:topLinePunct w:val="0"/>
        <w:autoSpaceDN/>
        <w:bidi w:val="0"/>
        <w:adjustRightInd w:val="0"/>
        <w:snapToGrid w:val="0"/>
        <w:spacing w:line="560" w:lineRule="exact"/>
        <w:textAlignment w:val="auto"/>
        <w:rPr>
          <w:rFonts w:hint="eastAsia" w:ascii="仿宋_GB2312" w:hAnsi="仿宋_GB2312" w:eastAsia="仿宋_GB2312" w:cs="仿宋_GB2312"/>
          <w:b w:val="0"/>
          <w:bCs w:val="0"/>
          <w:color w:val="auto"/>
          <w:highlight w:val="none"/>
          <w:lang w:val="en-US" w:eastAsia="zh-CN"/>
        </w:rPr>
      </w:pPr>
      <w:r>
        <w:rPr>
          <w:rFonts w:hint="eastAsia" w:ascii="仿宋_GB2312" w:hAnsi="仿宋_GB2312" w:eastAsia="仿宋_GB2312" w:cs="仿宋_GB2312"/>
          <w:b w:val="0"/>
          <w:bCs w:val="0"/>
          <w:color w:val="auto"/>
          <w:sz w:val="32"/>
          <w:szCs w:val="32"/>
          <w:highlight w:val="none"/>
          <w:lang w:val="en-US" w:eastAsia="zh-CN"/>
        </w:rPr>
        <w:t>为落实国家发展改革委办公厅、国家能源局综合司《电力需求侧管理办法（2023年版）》（发改运行规〔2023〕1283号）、《电力负荷管理办法（2023年版）》（发改运行规〔2023〕1261号）《广东省虚拟电厂参与电力市场交易实施方案（粤能电力〔2024〕48号）》《广东省虚拟电厂运营管理实施细则（试行）》相关要求，共同履行社会责任，服务新型电力系统建设，保障电力供应平稳有序，按照广东省电力主管部门保障电力供应的相关工作部署</w:t>
      </w:r>
      <w:r>
        <w:rPr>
          <w:rFonts w:hint="eastAsia" w:ascii="仿宋_GB2312" w:hAnsi="仿宋_GB2312" w:cs="仿宋_GB2312"/>
          <w:b w:val="0"/>
          <w:bCs w:val="0"/>
          <w:color w:val="auto"/>
          <w:sz w:val="32"/>
          <w:szCs w:val="32"/>
          <w:highlight w:val="none"/>
          <w:lang w:val="en-US" w:eastAsia="zh-CN"/>
        </w:rPr>
        <w:t>，</w:t>
      </w:r>
      <w:r>
        <w:rPr>
          <w:rFonts w:hint="eastAsia" w:ascii="仿宋_GB2312" w:hAnsi="仿宋_GB2312" w:eastAsia="仿宋_GB2312" w:cs="仿宋_GB2312"/>
          <w:b w:val="0"/>
          <w:bCs w:val="0"/>
          <w:color w:val="auto"/>
          <w:sz w:val="32"/>
          <w:szCs w:val="32"/>
          <w:highlight w:val="none"/>
          <w:lang w:val="en-US" w:eastAsia="zh-CN"/>
        </w:rPr>
        <w:t>本着公平、公正、诚实、信用的原则，甲乙双方经友好协商共同签订本协议书，协议内容如下：</w:t>
      </w:r>
    </w:p>
    <w:p w14:paraId="454F0E77">
      <w:pPr>
        <w:pStyle w:val="5"/>
        <w:pageBreakBefore w:val="0"/>
        <w:widowControl w:val="0"/>
        <w:numPr>
          <w:ilvl w:val="0"/>
          <w:numId w:val="0"/>
        </w:numPr>
        <w:kinsoku/>
        <w:wordWrap/>
        <w:overflowPunct/>
        <w:topLinePunct w:val="0"/>
        <w:autoSpaceDN/>
        <w:bidi w:val="0"/>
        <w:adjustRightInd w:val="0"/>
        <w:snapToGrid w:val="0"/>
        <w:spacing w:line="560" w:lineRule="exact"/>
        <w:ind w:leftChars="0" w:firstLine="643" w:firstLineChars="200"/>
        <w:textAlignment w:val="auto"/>
        <w:outlineLvl w:val="2"/>
        <w:rPr>
          <w:rFonts w:hint="eastAsia"/>
          <w:color w:val="auto"/>
          <w:sz w:val="32"/>
          <w:szCs w:val="32"/>
          <w:highlight w:val="none"/>
        </w:rPr>
      </w:pPr>
      <w:r>
        <w:rPr>
          <w:rFonts w:hint="eastAsia"/>
          <w:color w:val="auto"/>
          <w:sz w:val="32"/>
          <w:szCs w:val="32"/>
          <w:highlight w:val="none"/>
          <w:lang w:val="en-US" w:eastAsia="zh-CN"/>
        </w:rPr>
        <w:t>一、双方权利</w:t>
      </w:r>
      <w:r>
        <w:rPr>
          <w:rFonts w:hint="eastAsia"/>
          <w:color w:val="auto"/>
          <w:sz w:val="32"/>
          <w:szCs w:val="32"/>
          <w:highlight w:val="none"/>
        </w:rPr>
        <w:t>与义务</w:t>
      </w:r>
    </w:p>
    <w:p w14:paraId="4E6B71F4">
      <w:pPr>
        <w:pageBreakBefore w:val="0"/>
        <w:widowControl w:val="0"/>
        <w:kinsoku/>
        <w:wordWrap/>
        <w:overflowPunct/>
        <w:topLinePunct w:val="0"/>
        <w:autoSpaceDE w:val="0"/>
        <w:autoSpaceDN/>
        <w:bidi w:val="0"/>
        <w:adjustRightInd w:val="0"/>
        <w:snapToGrid w:val="0"/>
        <w:spacing w:beforeLines="0" w:afterLines="0" w:line="560" w:lineRule="exact"/>
        <w:ind w:firstLine="643" w:firstLineChars="200"/>
        <w:textAlignment w:val="auto"/>
        <w:outlineLvl w:val="3"/>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（一）</w:t>
      </w:r>
      <w:r>
        <w:rPr>
          <w:rFonts w:hint="eastAsia" w:ascii="仿宋_GB2312" w:hAnsi="仿宋_GB2312" w:cs="仿宋_GB2312"/>
          <w:b/>
          <w:bCs/>
          <w:color w:val="auto"/>
          <w:highlight w:val="none"/>
          <w:lang w:val="en-US" w:eastAsia="zh-CN"/>
        </w:rPr>
        <w:t>甲方</w:t>
      </w:r>
      <w:r>
        <w:rPr>
          <w:rFonts w:hint="eastAsia" w:ascii="仿宋_GB2312" w:hAnsi="仿宋_GB2312" w:eastAsia="仿宋_GB2312" w:cs="仿宋_GB2312"/>
          <w:b/>
          <w:bCs/>
          <w:color w:val="auto"/>
          <w:highlight w:val="none"/>
          <w:lang w:val="en-US" w:eastAsia="zh-CN"/>
        </w:rPr>
        <w:t>权利与义务</w:t>
      </w:r>
    </w:p>
    <w:p w14:paraId="4005C837">
      <w:pPr>
        <w:pageBreakBefore w:val="0"/>
        <w:widowControl w:val="0"/>
        <w:numPr>
          <w:ilvl w:val="0"/>
          <w:numId w:val="2"/>
        </w:numPr>
        <w:kinsoku/>
        <w:wordWrap/>
        <w:overflowPunct/>
        <w:topLinePunct w:val="0"/>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甲方的新型电力负荷管理系统</w:t>
      </w:r>
      <w:r>
        <w:rPr>
          <w:rFonts w:hint="eastAsia" w:ascii="仿宋_GB2312" w:hAnsi="仿宋_GB2312" w:eastAsia="仿宋_GB2312" w:cs="仿宋_GB2312"/>
          <w:color w:val="auto"/>
          <w:highlight w:val="none"/>
          <w:lang w:val="en-US" w:eastAsia="zh-CN"/>
        </w:rPr>
        <w:t>对接</w:t>
      </w:r>
      <w:r>
        <w:rPr>
          <w:rFonts w:hint="eastAsia" w:ascii="仿宋_GB2312" w:hAnsi="仿宋_GB2312" w:cs="仿宋_GB2312"/>
          <w:color w:val="auto"/>
          <w:highlight w:val="none"/>
          <w:lang w:val="en-US" w:eastAsia="zh-CN"/>
        </w:rPr>
        <w:t>乙方自有技术支持系统</w:t>
      </w:r>
      <w:r>
        <w:rPr>
          <w:rFonts w:hint="eastAsia" w:ascii="仿宋_GB2312" w:hAnsi="仿宋_GB2312" w:eastAsia="仿宋_GB2312" w:cs="仿宋_GB2312"/>
          <w:color w:val="auto"/>
          <w:highlight w:val="none"/>
          <w:lang w:val="en-US" w:eastAsia="zh-CN"/>
        </w:rPr>
        <w:t>的平台，实施必要的网络安全措施，建设过程中新装的</w:t>
      </w:r>
      <w:r>
        <w:rPr>
          <w:rFonts w:hint="eastAsia" w:ascii="仿宋_GB2312" w:hAnsi="仿宋_GB2312" w:cs="仿宋_GB2312"/>
          <w:color w:val="auto"/>
          <w:highlight w:val="none"/>
          <w:lang w:val="en-US" w:eastAsia="zh-CN"/>
        </w:rPr>
        <w:t>智能量测终端等负荷管理终端</w:t>
      </w:r>
      <w:r>
        <w:rPr>
          <w:rFonts w:hint="eastAsia" w:ascii="仿宋_GB2312" w:hAnsi="仿宋_GB2312" w:eastAsia="仿宋_GB2312" w:cs="仿宋_GB2312"/>
          <w:color w:val="auto"/>
          <w:highlight w:val="none"/>
          <w:lang w:val="en-US" w:eastAsia="zh-CN"/>
        </w:rPr>
        <w:t>归属于</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，由</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负责运维</w:t>
      </w:r>
      <w:r>
        <w:rPr>
          <w:rFonts w:hint="eastAsia" w:ascii="仿宋_GB2312" w:hAnsi="仿宋_GB2312" w:cs="仿宋_GB2312"/>
          <w:color w:val="auto"/>
          <w:highlight w:val="none"/>
          <w:lang w:val="en-US" w:eastAsia="zh-CN"/>
        </w:rPr>
        <w:t>。</w:t>
      </w:r>
    </w:p>
    <w:p w14:paraId="277F7842">
      <w:pPr>
        <w:pageBreakBefore w:val="0"/>
        <w:widowControl w:val="0"/>
        <w:numPr>
          <w:ilvl w:val="0"/>
          <w:numId w:val="2"/>
        </w:numPr>
        <w:kinsoku/>
        <w:wordWrap/>
        <w:overflowPunct/>
        <w:topLinePunct w:val="0"/>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产权范围内的智能量测终端</w:t>
      </w:r>
      <w:r>
        <w:rPr>
          <w:rFonts w:hint="eastAsia" w:ascii="仿宋_GB2312" w:hAnsi="仿宋_GB2312" w:cs="仿宋_GB2312"/>
          <w:color w:val="auto"/>
          <w:highlight w:val="none"/>
          <w:lang w:val="en-US" w:eastAsia="zh-CN"/>
        </w:rPr>
        <w:t>、负荷管理设备、</w:t>
      </w:r>
      <w:r>
        <w:rPr>
          <w:rFonts w:hint="eastAsia" w:ascii="仿宋_GB2312" w:hAnsi="仿宋_GB2312" w:eastAsia="仿宋_GB2312" w:cs="仿宋_GB2312"/>
          <w:color w:val="auto"/>
          <w:highlight w:val="none"/>
          <w:lang w:val="en-US" w:eastAsia="zh-CN"/>
        </w:rPr>
        <w:t>柔性调节设备，包括智能柔性调控终端和协议转换网关，归属于</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w:t>
      </w:r>
    </w:p>
    <w:p w14:paraId="51E33DE1">
      <w:pPr>
        <w:numPr>
          <w:ilvl w:val="0"/>
          <w:numId w:val="2"/>
        </w:numPr>
        <w:spacing w:line="560" w:lineRule="exact"/>
        <w:ind w:left="14" w:firstLine="626" w:firstLineChars="0"/>
        <w:rPr>
          <w:rFonts w:hint="eastAsia" w:ascii="仿宋_GB2312" w:hAnsi="仿宋_GB2312" w:cs="仿宋_GB2312"/>
          <w:color w:val="auto"/>
          <w:highlight w:val="none"/>
          <w:lang w:val="en-US" w:eastAsia="zh-CN"/>
        </w:rPr>
      </w:pPr>
      <w:r>
        <w:rPr>
          <w:rFonts w:hint="eastAsia" w:ascii="仿宋_GB2312" w:hAnsi="仿宋_GB2312" w:eastAsia="仿宋_GB2312" w:cs="仿宋_GB2312"/>
          <w:color w:val="auto"/>
          <w:sz w:val="32"/>
          <w:szCs w:val="22"/>
          <w:highlight w:val="none"/>
        </w:rPr>
        <w:t>甲方负责向乙方提供</w:t>
      </w:r>
      <w:r>
        <w:rPr>
          <w:rFonts w:hint="eastAsia" w:ascii="仿宋_GB2312" w:hAnsi="仿宋_GB2312" w:cs="仿宋_GB2312"/>
          <w:b w:val="0"/>
          <w:bCs w:val="0"/>
          <w:color w:val="auto"/>
          <w:highlight w:val="none"/>
          <w:lang w:val="en-US" w:eastAsia="zh-CN"/>
        </w:rPr>
        <w:t>经过审核的商用密码软件工具包（SDK）和基于国密算法的证书</w:t>
      </w:r>
      <w:r>
        <w:rPr>
          <w:rFonts w:hint="eastAsia" w:ascii="仿宋_GB2312" w:hAnsi="仿宋_GB2312" w:eastAsia="仿宋_GB2312" w:cs="仿宋_GB2312"/>
          <w:color w:val="auto"/>
          <w:sz w:val="32"/>
          <w:szCs w:val="22"/>
          <w:highlight w:val="none"/>
        </w:rPr>
        <w:t>，用于乙方自有技术支持系统的数据加密、解密及安全认证功能的集成。甲方同时提供相关技术说明和接口文档</w:t>
      </w:r>
      <w:r>
        <w:rPr>
          <w:rFonts w:hint="eastAsia" w:ascii="仿宋_GB2312" w:hAnsi="仿宋_GB2312" w:cs="仿宋_GB2312"/>
          <w:color w:val="auto"/>
          <w:sz w:val="32"/>
          <w:szCs w:val="22"/>
          <w:highlight w:val="none"/>
          <w:lang w:eastAsia="zh-CN"/>
        </w:rPr>
        <w:t>。</w:t>
      </w:r>
    </w:p>
    <w:p w14:paraId="7BD186C3">
      <w:pPr>
        <w:pageBreakBefore w:val="0"/>
        <w:widowControl w:val="0"/>
        <w:numPr>
          <w:ilvl w:val="0"/>
          <w:numId w:val="2"/>
        </w:numPr>
        <w:kinsoku/>
        <w:wordWrap/>
        <w:overflowPunct/>
        <w:topLinePunct w:val="0"/>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sz w:val="32"/>
          <w:szCs w:val="32"/>
          <w:highlight w:val="none"/>
          <w:lang w:val="en-US" w:eastAsia="zh-CN"/>
        </w:rPr>
        <w:t>甲方</w:t>
      </w:r>
      <w:r>
        <w:rPr>
          <w:rFonts w:hint="eastAsia" w:ascii="仿宋_GB2312" w:hAnsi="仿宋_GB2312" w:eastAsia="仿宋_GB2312" w:cs="仿宋_GB2312"/>
          <w:color w:val="auto"/>
          <w:sz w:val="32"/>
          <w:szCs w:val="32"/>
          <w:highlight w:val="none"/>
          <w:lang w:val="en-US" w:eastAsia="zh-CN"/>
        </w:rPr>
        <w:t>、</w:t>
      </w:r>
      <w:r>
        <w:rPr>
          <w:rFonts w:hint="eastAsia" w:ascii="仿宋_GB2312" w:hAnsi="仿宋_GB2312" w:cs="仿宋_GB2312"/>
          <w:color w:val="auto"/>
          <w:sz w:val="32"/>
          <w:szCs w:val="32"/>
          <w:highlight w:val="none"/>
          <w:lang w:val="en-US" w:eastAsia="zh-CN"/>
        </w:rPr>
        <w:t>乙方</w:t>
      </w:r>
      <w:r>
        <w:rPr>
          <w:rFonts w:hint="eastAsia" w:ascii="仿宋_GB2312" w:hAnsi="仿宋_GB2312" w:eastAsia="仿宋_GB2312" w:cs="仿宋_GB2312"/>
          <w:color w:val="auto"/>
          <w:highlight w:val="none"/>
          <w:lang w:val="en-US" w:eastAsia="zh-CN"/>
        </w:rPr>
        <w:t>双方应共同检验</w:t>
      </w:r>
      <w:r>
        <w:rPr>
          <w:rFonts w:hint="eastAsia" w:ascii="仿宋_GB2312" w:hAnsi="仿宋_GB2312" w:cs="仿宋_GB2312"/>
          <w:color w:val="auto"/>
          <w:highlight w:val="none"/>
          <w:lang w:val="en-US" w:eastAsia="zh-CN"/>
        </w:rPr>
        <w:t>新型电力负荷管理系统</w:t>
      </w:r>
      <w:r>
        <w:rPr>
          <w:rFonts w:hint="eastAsia" w:ascii="仿宋_GB2312" w:hAnsi="仿宋_GB2312" w:eastAsia="仿宋_GB2312" w:cs="仿宋_GB2312"/>
          <w:color w:val="auto"/>
          <w:highlight w:val="none"/>
          <w:lang w:val="en-US" w:eastAsia="zh-CN"/>
        </w:rPr>
        <w:t>对接</w:t>
      </w:r>
      <w:r>
        <w:rPr>
          <w:rFonts w:hint="eastAsia" w:ascii="仿宋_GB2312" w:hAnsi="仿宋_GB2312" w:cs="仿宋_GB2312"/>
          <w:color w:val="auto"/>
          <w:highlight w:val="none"/>
          <w:lang w:val="en-US" w:eastAsia="zh-CN"/>
        </w:rPr>
        <w:t>乙方自有技术支持系统</w:t>
      </w:r>
      <w:r>
        <w:rPr>
          <w:rFonts w:hint="eastAsia" w:ascii="仿宋_GB2312" w:hAnsi="仿宋_GB2312" w:eastAsia="仿宋_GB2312" w:cs="仿宋_GB2312"/>
          <w:color w:val="auto"/>
          <w:highlight w:val="none"/>
          <w:lang w:val="en-US" w:eastAsia="zh-CN"/>
        </w:rPr>
        <w:t>的远程对接，对远程柔性调节功能进行有效性验证。</w:t>
      </w:r>
    </w:p>
    <w:p w14:paraId="3756AFED">
      <w:pPr>
        <w:pageBreakBefore w:val="0"/>
        <w:widowControl w:val="0"/>
        <w:numPr>
          <w:ilvl w:val="0"/>
          <w:numId w:val="2"/>
        </w:numPr>
        <w:kinsoku/>
        <w:wordWrap/>
        <w:overflowPunct/>
        <w:topLinePunct w:val="0"/>
        <w:autoSpaceDN/>
        <w:bidi w:val="0"/>
        <w:spacing w:line="560" w:lineRule="exact"/>
        <w:ind w:left="0" w:leftChars="0" w:firstLine="640" w:firstLineChars="200"/>
        <w:textAlignment w:val="auto"/>
        <w:rPr>
          <w:rFonts w:hint="eastAsia"/>
          <w:color w:val="auto"/>
          <w:highlight w:val="none"/>
          <w:lang w:val="en-US" w:eastAsia="zh-CN"/>
        </w:rPr>
      </w:pPr>
      <w:r>
        <w:rPr>
          <w:rFonts w:hint="eastAsia"/>
          <w:color w:val="auto"/>
          <w:highlight w:val="none"/>
          <w:lang w:val="en-US" w:eastAsia="zh-CN"/>
        </w:rPr>
        <w:t>甲方通过新型电力负荷管理系统</w:t>
      </w:r>
      <w:r>
        <w:rPr>
          <w:rFonts w:hint="eastAsia" w:ascii="仿宋_GB2312" w:hAnsi="仿宋_GB2312" w:eastAsia="仿宋_GB2312" w:cs="仿宋_GB2312"/>
          <w:color w:val="auto"/>
          <w:highlight w:val="none"/>
          <w:lang w:val="en-US" w:eastAsia="zh-CN"/>
        </w:rPr>
        <w:t>对接</w:t>
      </w:r>
      <w:r>
        <w:rPr>
          <w:rFonts w:hint="eastAsia" w:ascii="仿宋_GB2312" w:hAnsi="仿宋_GB2312" w:cs="仿宋_GB2312"/>
          <w:color w:val="auto"/>
          <w:highlight w:val="none"/>
          <w:lang w:val="en-US" w:eastAsia="zh-CN"/>
        </w:rPr>
        <w:t>乙方自有技术支持系统</w:t>
      </w:r>
      <w:r>
        <w:rPr>
          <w:rFonts w:hint="eastAsia"/>
          <w:color w:val="auto"/>
          <w:highlight w:val="none"/>
          <w:lang w:val="en-US" w:eastAsia="zh-CN"/>
        </w:rPr>
        <w:t>开展运行监测和安全检测，包括对虚拟电厂及其聚合用户、可调节资源的实时运行监测。如监测过程中发现违反本协议或《广东省虚拟电厂运营管理实施细则（试行）》（以下称“细则”）的有关要求，</w:t>
      </w:r>
      <w:r>
        <w:rPr>
          <w:rFonts w:hint="eastAsia" w:ascii="仿宋_GB2312" w:hAnsi="仿宋_GB2312" w:cs="仿宋_GB2312"/>
          <w:b w:val="0"/>
          <w:bCs w:val="0"/>
          <w:color w:val="auto"/>
          <w:sz w:val="32"/>
          <w:szCs w:val="22"/>
          <w:highlight w:val="none"/>
          <w:lang w:val="en-US" w:eastAsia="zh-CN"/>
        </w:rPr>
        <w:t>督促乙方限期整改。对未按期完成整改的，由甲方</w:t>
      </w:r>
      <w:r>
        <w:rPr>
          <w:rFonts w:hint="eastAsia" w:ascii="仿宋_GB2312" w:hAnsi="仿宋_GB2312" w:cs="仿宋_GB2312"/>
          <w:color w:val="auto"/>
          <w:spacing w:val="0"/>
          <w:sz w:val="32"/>
          <w:szCs w:val="32"/>
          <w:highlight w:val="none"/>
          <w:u w:val="none"/>
        </w:rPr>
        <w:t>提报政府主管部门</w:t>
      </w:r>
      <w:r>
        <w:rPr>
          <w:rFonts w:hint="eastAsia" w:ascii="仿宋_GB2312" w:hAnsi="仿宋_GB2312" w:cs="仿宋_GB2312"/>
          <w:color w:val="auto"/>
          <w:spacing w:val="0"/>
          <w:sz w:val="32"/>
          <w:szCs w:val="32"/>
          <w:highlight w:val="none"/>
          <w:u w:val="none"/>
          <w:lang w:val="en-US" w:eastAsia="zh-CN"/>
        </w:rPr>
        <w:t>和能源监管机构</w:t>
      </w:r>
      <w:r>
        <w:rPr>
          <w:rFonts w:hint="eastAsia" w:ascii="仿宋_GB2312" w:hAnsi="仿宋_GB2312" w:cs="仿宋_GB2312"/>
          <w:color w:val="auto"/>
          <w:spacing w:val="0"/>
          <w:sz w:val="32"/>
          <w:szCs w:val="32"/>
          <w:highlight w:val="none"/>
          <w:u w:val="none"/>
        </w:rPr>
        <w:t>，按照市场规则和有关法规对</w:t>
      </w:r>
      <w:r>
        <w:rPr>
          <w:rFonts w:hint="eastAsia" w:ascii="仿宋_GB2312" w:hAnsi="仿宋_GB2312" w:cs="仿宋_GB2312"/>
          <w:color w:val="auto"/>
          <w:spacing w:val="0"/>
          <w:sz w:val="32"/>
          <w:szCs w:val="32"/>
          <w:highlight w:val="none"/>
          <w:u w:val="none"/>
          <w:lang w:val="en-US" w:eastAsia="zh-CN"/>
        </w:rPr>
        <w:t>乙方</w:t>
      </w:r>
      <w:r>
        <w:rPr>
          <w:rFonts w:hint="eastAsia" w:ascii="仿宋_GB2312" w:hAnsi="仿宋_GB2312" w:cs="仿宋_GB2312"/>
          <w:color w:val="auto"/>
          <w:spacing w:val="0"/>
          <w:sz w:val="32"/>
          <w:szCs w:val="32"/>
          <w:highlight w:val="none"/>
          <w:u w:val="none"/>
        </w:rPr>
        <w:t>采取相应处罚措施。</w:t>
      </w:r>
    </w:p>
    <w:p w14:paraId="069AEFE3">
      <w:pPr>
        <w:widowControl w:val="0"/>
        <w:numPr>
          <w:ilvl w:val="0"/>
          <w:numId w:val="2"/>
        </w:numPr>
        <w:spacing w:line="560" w:lineRule="exact"/>
        <w:ind w:left="14" w:firstLine="626" w:firstLineChars="0"/>
        <w:rPr>
          <w:rFonts w:hint="eastAsia" w:ascii="仿宋_GB2312" w:hAnsi="仿宋_GB2312" w:cs="仿宋_GB2312"/>
          <w:color w:val="auto"/>
          <w:szCs w:val="22"/>
          <w:highlight w:val="none"/>
          <w:lang w:val="en-US" w:eastAsia="zh-CN"/>
        </w:rPr>
      </w:pPr>
      <w:r>
        <w:rPr>
          <w:rFonts w:hint="eastAsia" w:ascii="仿宋_GB2312" w:hAnsi="仿宋_GB2312" w:cs="仿宋_GB2312"/>
          <w:color w:val="auto"/>
          <w:szCs w:val="22"/>
          <w:highlight w:val="none"/>
          <w:lang w:val="en-US" w:eastAsia="zh-CN"/>
        </w:rPr>
        <w:t>甲方应按细则要求，负责组织乙方开展虚拟电厂交易单元的能力测试认定。甲方可根据实际情况，委托具备CNAS/CMA资质或同等资质能力的第三方机构对虚拟电厂开展能力测试和出具测试报告工作。</w:t>
      </w:r>
    </w:p>
    <w:p w14:paraId="07244766">
      <w:pPr>
        <w:pageBreakBefore w:val="0"/>
        <w:widowControl w:val="0"/>
        <w:numPr>
          <w:ilvl w:val="0"/>
          <w:numId w:val="2"/>
        </w:numPr>
        <w:kinsoku/>
        <w:wordWrap/>
        <w:overflowPunct/>
        <w:topLinePunct w:val="0"/>
        <w:autoSpaceDN/>
        <w:bidi w:val="0"/>
        <w:spacing w:line="560" w:lineRule="exact"/>
        <w:ind w:left="0" w:leftChars="0" w:firstLine="640" w:firstLineChars="200"/>
        <w:textAlignment w:val="auto"/>
        <w:rPr>
          <w:rFonts w:hint="eastAsia"/>
          <w:color w:val="auto"/>
          <w:highlight w:val="none"/>
          <w:lang w:val="en-US" w:eastAsia="zh-CN"/>
        </w:rPr>
      </w:pPr>
      <w:r>
        <w:rPr>
          <w:rFonts w:hint="eastAsia"/>
          <w:color w:val="auto"/>
          <w:highlight w:val="none"/>
          <w:lang w:val="en-US" w:eastAsia="zh-CN"/>
        </w:rPr>
        <w:t>甲方按月开展可调节能力管理，对乙方报送的实际可调节能力进行核验，并每年</w:t>
      </w:r>
      <w:r>
        <w:rPr>
          <w:rFonts w:hint="eastAsia" w:ascii="仿宋_GB2312" w:hAnsi="仿宋_GB2312" w:cs="仿宋_GB2312"/>
          <w:color w:val="auto"/>
          <w:szCs w:val="32"/>
          <w:highlight w:val="none"/>
          <w:u w:val="none"/>
          <w:shd w:val="clear" w:color="auto" w:fill="auto"/>
          <w:lang w:val="en-US" w:eastAsia="zh-CN"/>
        </w:rPr>
        <w:t>对运营商开展能力抽查测试，对抽查测试不通过的应限期整改，对拒不整改或整改不到位的，暂停该虚拟电厂交易单元的交易资格。</w:t>
      </w:r>
      <w:r>
        <w:rPr>
          <w:rFonts w:hint="default" w:ascii="仿宋_GB2312" w:hAnsi="仿宋_GB2312" w:cs="仿宋_GB2312"/>
          <w:color w:val="auto"/>
          <w:spacing w:val="0"/>
          <w:sz w:val="32"/>
          <w:szCs w:val="22"/>
          <w:highlight w:val="none"/>
          <w:lang w:val="en-US" w:eastAsia="zh-CN"/>
        </w:rPr>
        <w:t>如虚拟电厂实际调节能力发生重大变化</w:t>
      </w:r>
      <w:r>
        <w:rPr>
          <w:rFonts w:hint="eastAsia" w:ascii="仿宋_GB2312" w:hAnsi="仿宋_GB2312" w:cs="仿宋_GB2312"/>
          <w:color w:val="auto"/>
          <w:spacing w:val="0"/>
          <w:sz w:val="32"/>
          <w:szCs w:val="22"/>
          <w:highlight w:val="none"/>
          <w:lang w:val="en-US" w:eastAsia="zh-CN"/>
        </w:rPr>
        <w:t>，甲方应组织乙方开展能力调用测试，按</w:t>
      </w:r>
      <w:r>
        <w:rPr>
          <w:rFonts w:hint="eastAsia"/>
          <w:color w:val="auto"/>
          <w:highlight w:val="none"/>
          <w:lang w:val="en-US" w:eastAsia="zh-CN"/>
        </w:rPr>
        <w:t>细则</w:t>
      </w:r>
      <w:r>
        <w:rPr>
          <w:rFonts w:hint="eastAsia" w:ascii="仿宋_GB2312" w:hAnsi="仿宋_GB2312" w:cs="仿宋_GB2312"/>
          <w:color w:val="auto"/>
          <w:spacing w:val="0"/>
          <w:sz w:val="32"/>
          <w:szCs w:val="22"/>
          <w:highlight w:val="none"/>
          <w:lang w:val="en-US" w:eastAsia="zh-CN"/>
        </w:rPr>
        <w:t>规定组织开展虚拟电厂交易单元调节能力变更。</w:t>
      </w:r>
    </w:p>
    <w:p w14:paraId="49597DEF">
      <w:pPr>
        <w:pageBreakBefore w:val="0"/>
        <w:widowControl w:val="0"/>
        <w:numPr>
          <w:ilvl w:val="0"/>
          <w:numId w:val="2"/>
        </w:numPr>
        <w:kinsoku/>
        <w:wordWrap/>
        <w:overflowPunct/>
        <w:topLinePunct w:val="0"/>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可依据政府政策和电力市场相关规则要求启动需求响应</w:t>
      </w:r>
      <w:r>
        <w:rPr>
          <w:rFonts w:hint="eastAsia" w:ascii="仿宋_GB2312" w:hAnsi="仿宋_GB2312" w:eastAsia="仿宋_GB2312" w:cs="仿宋_GB2312"/>
          <w:color w:val="auto"/>
          <w:sz w:val="32"/>
          <w:szCs w:val="32"/>
          <w:highlight w:val="none"/>
          <w:lang w:val="en-US" w:eastAsia="zh-CN"/>
        </w:rPr>
        <w:t>、用电负荷管理等需求侧措施</w:t>
      </w:r>
      <w:r>
        <w:rPr>
          <w:rFonts w:hint="eastAsia" w:ascii="仿宋_GB2312" w:hAnsi="仿宋_GB2312" w:eastAsia="仿宋_GB2312" w:cs="仿宋_GB2312"/>
          <w:color w:val="auto"/>
          <w:highlight w:val="none"/>
          <w:lang w:val="en-US" w:eastAsia="zh-CN"/>
        </w:rPr>
        <w:t>，</w:t>
      </w:r>
      <w:r>
        <w:rPr>
          <w:rFonts w:hint="eastAsia" w:ascii="仿宋_GB2312" w:hAnsi="仿宋_GB2312" w:eastAsia="仿宋_GB2312" w:cs="仿宋_GB2312"/>
          <w:color w:val="auto"/>
          <w:sz w:val="32"/>
          <w:szCs w:val="32"/>
          <w:highlight w:val="none"/>
          <w:lang w:val="en-US" w:eastAsia="zh-CN"/>
        </w:rPr>
        <w:t>通过短信、电话、APP、微信小程序等任一方式通知</w:t>
      </w:r>
      <w:r>
        <w:rPr>
          <w:rFonts w:hint="eastAsia" w:ascii="仿宋_GB2312" w:hAnsi="仿宋_GB2312" w:cs="仿宋_GB2312"/>
          <w:color w:val="auto"/>
          <w:sz w:val="32"/>
          <w:szCs w:val="32"/>
          <w:highlight w:val="none"/>
          <w:lang w:val="en-US" w:eastAsia="zh-CN"/>
        </w:rPr>
        <w:t>乙方</w:t>
      </w:r>
      <w:r>
        <w:rPr>
          <w:rFonts w:hint="eastAsia" w:ascii="仿宋_GB2312" w:hAnsi="仿宋_GB2312" w:eastAsia="仿宋_GB2312" w:cs="仿宋_GB2312"/>
          <w:color w:val="auto"/>
          <w:sz w:val="32"/>
          <w:szCs w:val="32"/>
          <w:highlight w:val="none"/>
          <w:lang w:val="en-US" w:eastAsia="zh-CN"/>
        </w:rPr>
        <w:t>配合调整用电负荷，</w:t>
      </w:r>
      <w:r>
        <w:rPr>
          <w:rFonts w:hint="eastAsia" w:ascii="仿宋_GB2312" w:hAnsi="仿宋_GB2312" w:cs="仿宋_GB2312"/>
          <w:color w:val="auto"/>
          <w:highlight w:val="none"/>
          <w:lang w:val="en-US" w:eastAsia="zh-CN"/>
        </w:rPr>
        <w:t>或</w:t>
      </w:r>
      <w:r>
        <w:rPr>
          <w:rFonts w:hint="eastAsia" w:ascii="仿宋_GB2312" w:hAnsi="仿宋_GB2312" w:eastAsia="仿宋_GB2312" w:cs="仿宋_GB2312"/>
          <w:color w:val="auto"/>
          <w:highlight w:val="none"/>
          <w:lang w:val="en-US" w:eastAsia="zh-CN"/>
        </w:rPr>
        <w:t>通过新型电力负荷管理系统发送调节指令至</w:t>
      </w:r>
      <w:r>
        <w:rPr>
          <w:rFonts w:hint="eastAsia" w:ascii="仿宋_GB2312" w:hAnsi="仿宋_GB2312" w:cs="仿宋_GB2312"/>
          <w:color w:val="auto"/>
          <w:sz w:val="32"/>
          <w:szCs w:val="32"/>
          <w:highlight w:val="none"/>
          <w:lang w:val="en-US" w:eastAsia="zh-CN"/>
        </w:rPr>
        <w:t>乙方</w:t>
      </w:r>
      <w:r>
        <w:rPr>
          <w:rFonts w:hint="eastAsia" w:ascii="仿宋_GB2312" w:hAnsi="仿宋_GB2312" w:eastAsia="仿宋_GB2312" w:cs="仿宋_GB2312"/>
          <w:color w:val="auto"/>
          <w:highlight w:val="none"/>
          <w:lang w:val="en-US" w:eastAsia="zh-CN"/>
        </w:rPr>
        <w:t>的</w:t>
      </w:r>
      <w:r>
        <w:rPr>
          <w:rFonts w:hint="eastAsia" w:ascii="仿宋_GB2312" w:hAnsi="仿宋_GB2312" w:cs="仿宋_GB2312"/>
          <w:color w:val="auto"/>
          <w:highlight w:val="none"/>
          <w:lang w:val="en-US" w:eastAsia="zh-CN"/>
        </w:rPr>
        <w:t>自有技术支持系统</w:t>
      </w:r>
      <w:r>
        <w:rPr>
          <w:rFonts w:hint="eastAsia" w:ascii="仿宋_GB2312" w:hAnsi="仿宋_GB2312" w:eastAsia="仿宋_GB2312" w:cs="仿宋_GB2312"/>
          <w:color w:val="auto"/>
          <w:highlight w:val="none"/>
          <w:lang w:val="en-US" w:eastAsia="zh-CN"/>
        </w:rPr>
        <w:t>，</w:t>
      </w:r>
      <w:r>
        <w:rPr>
          <w:rFonts w:hint="eastAsia" w:ascii="仿宋_GB2312" w:hAnsi="仿宋_GB2312" w:cs="仿宋_GB2312"/>
          <w:color w:val="auto"/>
          <w:highlight w:val="none"/>
          <w:lang w:val="en-US" w:eastAsia="zh-CN"/>
        </w:rPr>
        <w:t>乙方按照指令做好聚合资源的负荷调节，</w:t>
      </w:r>
      <w:r>
        <w:rPr>
          <w:rFonts w:hint="eastAsia" w:ascii="仿宋_GB2312" w:hAnsi="仿宋_GB2312" w:eastAsia="仿宋_GB2312" w:cs="仿宋_GB2312"/>
          <w:color w:val="auto"/>
          <w:sz w:val="32"/>
          <w:szCs w:val="32"/>
          <w:highlight w:val="none"/>
          <w:lang w:val="en-US" w:eastAsia="zh-CN"/>
        </w:rPr>
        <w:t>必要时</w:t>
      </w:r>
      <w:r>
        <w:rPr>
          <w:rFonts w:hint="eastAsia" w:ascii="仿宋_GB2312" w:hAnsi="仿宋_GB2312" w:cs="仿宋_GB2312"/>
          <w:color w:val="auto"/>
          <w:sz w:val="32"/>
          <w:szCs w:val="32"/>
          <w:highlight w:val="none"/>
          <w:lang w:val="en-US" w:eastAsia="zh-CN"/>
        </w:rPr>
        <w:t>甲方</w:t>
      </w:r>
      <w:r>
        <w:rPr>
          <w:rFonts w:hint="eastAsia" w:ascii="仿宋_GB2312" w:hAnsi="仿宋_GB2312" w:eastAsia="仿宋_GB2312" w:cs="仿宋_GB2312"/>
          <w:color w:val="auto"/>
          <w:sz w:val="32"/>
          <w:szCs w:val="32"/>
          <w:highlight w:val="none"/>
          <w:lang w:val="en-US" w:eastAsia="zh-CN"/>
        </w:rPr>
        <w:t>可启用负荷控制</w:t>
      </w:r>
      <w:r>
        <w:rPr>
          <w:rFonts w:hint="eastAsia" w:ascii="仿宋_GB2312" w:hAnsi="仿宋_GB2312" w:eastAsia="仿宋_GB2312" w:cs="仿宋_GB2312"/>
          <w:color w:val="auto"/>
          <w:highlight w:val="none"/>
          <w:lang w:val="en-US" w:eastAsia="zh-CN"/>
        </w:rPr>
        <w:t>。</w:t>
      </w:r>
    </w:p>
    <w:p w14:paraId="0830E85B">
      <w:pPr>
        <w:keepNext/>
        <w:keepLines w:val="0"/>
        <w:pageBreakBefore w:val="0"/>
        <w:widowControl w:val="0"/>
        <w:kinsoku/>
        <w:wordWrap/>
        <w:overflowPunct/>
        <w:topLinePunct w:val="0"/>
        <w:autoSpaceDE w:val="0"/>
        <w:autoSpaceDN/>
        <w:bidi w:val="0"/>
        <w:adjustRightInd/>
        <w:snapToGrid/>
        <w:spacing w:beforeLines="0" w:afterLines="0" w:line="560" w:lineRule="exact"/>
        <w:ind w:firstLine="643" w:firstLineChars="200"/>
        <w:textAlignment w:val="auto"/>
        <w:outlineLvl w:val="3"/>
        <w:rPr>
          <w:rFonts w:hint="eastAsia" w:ascii="仿宋_GB2312" w:hAnsi="仿宋_GB2312" w:eastAsia="仿宋_GB2312" w:cs="仿宋_GB2312"/>
          <w:b/>
          <w:bCs/>
          <w:color w:val="auto"/>
          <w:highlight w:val="none"/>
          <w:lang w:val="en-US" w:eastAsia="zh-CN"/>
        </w:rPr>
      </w:pPr>
      <w:r>
        <w:rPr>
          <w:rFonts w:hint="eastAsia" w:ascii="仿宋_GB2312" w:hAnsi="仿宋_GB2312" w:eastAsia="仿宋_GB2312" w:cs="仿宋_GB2312"/>
          <w:b/>
          <w:bCs/>
          <w:color w:val="auto"/>
          <w:highlight w:val="none"/>
          <w:lang w:val="en-US" w:eastAsia="zh-CN"/>
        </w:rPr>
        <w:t>（二）</w:t>
      </w:r>
      <w:r>
        <w:rPr>
          <w:rFonts w:hint="eastAsia" w:ascii="仿宋_GB2312" w:hAnsi="仿宋_GB2312" w:cs="仿宋_GB2312"/>
          <w:b/>
          <w:bCs/>
          <w:color w:val="auto"/>
          <w:highlight w:val="none"/>
          <w:lang w:val="en-US" w:eastAsia="zh-CN"/>
        </w:rPr>
        <w:t>乙方</w:t>
      </w:r>
      <w:r>
        <w:rPr>
          <w:rFonts w:hint="eastAsia" w:ascii="仿宋_GB2312" w:hAnsi="仿宋_GB2312" w:eastAsia="仿宋_GB2312" w:cs="仿宋_GB2312"/>
          <w:b/>
          <w:bCs/>
          <w:color w:val="auto"/>
          <w:highlight w:val="none"/>
          <w:lang w:val="en-US" w:eastAsia="zh-CN"/>
        </w:rPr>
        <w:t>权利和义务</w:t>
      </w:r>
    </w:p>
    <w:p w14:paraId="31779C60">
      <w:pPr>
        <w:pageBreakBefore w:val="0"/>
        <w:widowControl w:val="0"/>
        <w:numPr>
          <w:ilvl w:val="0"/>
          <w:numId w:val="3"/>
        </w:numPr>
        <w:kinsoku/>
        <w:wordWrap/>
        <w:overflowPunct/>
        <w:topLinePunct w:val="0"/>
        <w:autoSpaceDN/>
        <w:bidi w:val="0"/>
        <w:spacing w:line="560" w:lineRule="exact"/>
        <w:ind w:left="2" w:leftChars="0" w:firstLine="64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sz w:val="32"/>
          <w:szCs w:val="32"/>
          <w:highlight w:val="none"/>
          <w:lang w:val="en-US" w:eastAsia="zh-CN"/>
        </w:rPr>
        <w:t>乙方</w:t>
      </w:r>
      <w:r>
        <w:rPr>
          <w:rFonts w:hint="eastAsia" w:ascii="Times New Roman" w:hAnsi="Times New Roman" w:eastAsia="仿宋_GB2312"/>
          <w:bCs/>
          <w:color w:val="auto"/>
          <w:kern w:val="0"/>
          <w:sz w:val="32"/>
          <w:szCs w:val="32"/>
          <w:highlight w:val="none"/>
          <w:lang w:val="en-US" w:eastAsia="zh-CN"/>
        </w:rPr>
        <w:t>负责对管辖范围内</w:t>
      </w:r>
      <w:r>
        <w:rPr>
          <w:rFonts w:hint="eastAsia"/>
          <w:bCs/>
          <w:color w:val="auto"/>
          <w:kern w:val="0"/>
          <w:sz w:val="32"/>
          <w:szCs w:val="32"/>
          <w:highlight w:val="none"/>
          <w:lang w:val="en-US" w:eastAsia="zh-CN"/>
        </w:rPr>
        <w:t>聚合用户</w:t>
      </w:r>
      <w:r>
        <w:rPr>
          <w:rFonts w:hint="eastAsia" w:ascii="Times New Roman" w:hAnsi="Times New Roman" w:eastAsia="仿宋_GB2312"/>
          <w:bCs/>
          <w:color w:val="auto"/>
          <w:kern w:val="0"/>
          <w:sz w:val="32"/>
          <w:szCs w:val="32"/>
          <w:highlight w:val="none"/>
          <w:lang w:val="en-US" w:eastAsia="zh-CN"/>
        </w:rPr>
        <w:t>的安全运行状态进行监控管理</w:t>
      </w:r>
      <w:r>
        <w:rPr>
          <w:rFonts w:hint="eastAsia"/>
          <w:bCs/>
          <w:color w:val="auto"/>
          <w:kern w:val="0"/>
          <w:sz w:val="32"/>
          <w:szCs w:val="32"/>
          <w:highlight w:val="none"/>
          <w:lang w:val="en-US" w:eastAsia="zh-CN"/>
        </w:rPr>
        <w:t>，</w:t>
      </w:r>
      <w:r>
        <w:rPr>
          <w:rFonts w:hint="eastAsia" w:ascii="仿宋_GB2312" w:hAnsi="仿宋_GB2312" w:eastAsia="仿宋_GB2312" w:cs="仿宋_GB2312"/>
          <w:color w:val="auto"/>
          <w:highlight w:val="none"/>
          <w:lang w:val="en-US" w:eastAsia="zh-CN"/>
        </w:rPr>
        <w:t>不得擅自操作</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产权范围内的</w:t>
      </w:r>
      <w:r>
        <w:rPr>
          <w:rFonts w:hint="eastAsia" w:ascii="仿宋_GB2312" w:hAnsi="仿宋_GB2312" w:cs="仿宋_GB2312"/>
          <w:color w:val="auto"/>
          <w:highlight w:val="none"/>
          <w:lang w:val="en-US" w:eastAsia="zh-CN"/>
        </w:rPr>
        <w:t>智能量测终端、负荷管理设备、</w:t>
      </w:r>
      <w:r>
        <w:rPr>
          <w:rFonts w:hint="eastAsia" w:ascii="仿宋_GB2312" w:hAnsi="仿宋_GB2312" w:eastAsia="仿宋_GB2312" w:cs="仿宋_GB2312"/>
          <w:color w:val="auto"/>
          <w:highlight w:val="none"/>
          <w:lang w:val="en-US" w:eastAsia="zh-CN"/>
        </w:rPr>
        <w:t>柔性调节设备</w:t>
      </w:r>
      <w:r>
        <w:rPr>
          <w:rFonts w:hint="eastAsia" w:ascii="仿宋_GB2312" w:hAnsi="仿宋_GB2312" w:cs="仿宋_GB2312"/>
          <w:color w:val="auto"/>
          <w:highlight w:val="none"/>
          <w:lang w:val="en-US" w:eastAsia="zh-CN"/>
        </w:rPr>
        <w:t>等</w:t>
      </w:r>
      <w:r>
        <w:rPr>
          <w:rFonts w:hint="eastAsia" w:ascii="仿宋_GB2312" w:hAnsi="仿宋_GB2312" w:eastAsia="仿宋_GB2312" w:cs="仿宋_GB2312"/>
          <w:color w:val="auto"/>
          <w:highlight w:val="none"/>
          <w:lang w:val="en-US" w:eastAsia="zh-CN"/>
        </w:rPr>
        <w:t>，不得擅自迁移、更改或拆除设备及接线。如发现</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产权范围内的</w:t>
      </w:r>
      <w:r>
        <w:rPr>
          <w:rFonts w:hint="eastAsia" w:ascii="仿宋_GB2312" w:hAnsi="仿宋_GB2312" w:cs="仿宋_GB2312"/>
          <w:color w:val="auto"/>
          <w:highlight w:val="none"/>
          <w:lang w:val="en-US" w:eastAsia="zh-CN"/>
        </w:rPr>
        <w:t>智能量测终端、负荷管理设备、</w:t>
      </w:r>
      <w:r>
        <w:rPr>
          <w:rFonts w:hint="eastAsia" w:ascii="仿宋_GB2312" w:hAnsi="仿宋_GB2312" w:eastAsia="仿宋_GB2312" w:cs="仿宋_GB2312"/>
          <w:color w:val="auto"/>
          <w:highlight w:val="none"/>
          <w:lang w:val="en-US" w:eastAsia="zh-CN"/>
        </w:rPr>
        <w:t>柔性调节设备和网络安全设备存在异常，应立即联系</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，并配合</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进行异常处理。因</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原因导致</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资产拆迁所产生的费用由</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承担。</w:t>
      </w:r>
    </w:p>
    <w:p w14:paraId="19FDE107">
      <w:pPr>
        <w:keepNext w:val="0"/>
        <w:keepLines w:val="0"/>
        <w:widowControl/>
        <w:suppressLineNumbers w:val="0"/>
        <w:jc w:val="left"/>
        <w:rPr>
          <w:rFonts w:hint="eastAsia" w:ascii="仿宋_GB2312" w:hAnsi="仿宋_GB2312" w:cs="仿宋_GB2312"/>
          <w:color w:val="auto"/>
          <w:highlight w:val="none"/>
          <w:lang w:val="en-US" w:eastAsia="zh-CN"/>
        </w:rPr>
      </w:pPr>
      <w:r>
        <w:rPr>
          <w:rFonts w:hint="eastAsia" w:ascii="仿宋_GB2312" w:hAnsi="仿宋_GB2312" w:cs="仿宋_GB2312"/>
          <w:color w:val="auto"/>
          <w:sz w:val="32"/>
          <w:szCs w:val="32"/>
          <w:highlight w:val="none"/>
          <w:lang w:val="en-US" w:eastAsia="zh-CN"/>
        </w:rPr>
        <w:t>乙方应在</w:t>
      </w:r>
      <w:r>
        <w:rPr>
          <w:rFonts w:hint="eastAsia" w:ascii="仿宋_GB2312" w:hAnsi="仿宋_GB2312" w:cs="仿宋_GB2312"/>
          <w:color w:val="auto"/>
          <w:highlight w:val="none"/>
          <w:lang w:val="en-US" w:eastAsia="zh-CN"/>
        </w:rPr>
        <w:t>内网专用区域配置RS485-以太网转换器或</w:t>
      </w:r>
      <w:r>
        <w:rPr>
          <w:rFonts w:ascii="仿宋_GB2312" w:hAnsi="宋体" w:eastAsia="仿宋_GB2312" w:cs="仿宋_GB2312"/>
          <w:color w:val="000000"/>
          <w:kern w:val="0"/>
          <w:sz w:val="31"/>
          <w:szCs w:val="31"/>
          <w:lang w:val="en-US" w:eastAsia="zh-CN" w:bidi="ar"/>
        </w:rPr>
        <w:t>经过公安部认证且满足国标GB/T20279或</w:t>
      </w:r>
      <w:r>
        <w:rPr>
          <w:rFonts w:hint="eastAsia" w:ascii="仿宋_GB2312" w:hAnsi="宋体" w:eastAsia="仿宋_GB2312" w:cs="仿宋_GB2312"/>
          <w:color w:val="000000"/>
          <w:kern w:val="0"/>
          <w:sz w:val="31"/>
          <w:szCs w:val="31"/>
          <w:lang w:val="en-US" w:eastAsia="zh-CN" w:bidi="ar"/>
        </w:rPr>
        <w:t>GB/T37934的隔离装置</w:t>
      </w:r>
      <w:r>
        <w:rPr>
          <w:rFonts w:hint="eastAsia" w:ascii="仿宋_GB2312" w:hAnsi="仿宋_GB2312" w:cs="仿宋_GB2312"/>
          <w:color w:val="auto"/>
          <w:highlight w:val="none"/>
          <w:lang w:val="en-US" w:eastAsia="zh-CN"/>
        </w:rPr>
        <w:t>等设备</w:t>
      </w:r>
      <w:r>
        <w:rPr>
          <w:rFonts w:hint="eastAsia" w:ascii="仿宋_GB2312" w:hAnsi="仿宋_GB2312" w:cs="仿宋_GB2312"/>
          <w:b w:val="0"/>
          <w:bCs w:val="0"/>
          <w:color w:val="auto"/>
          <w:spacing w:val="0"/>
          <w:sz w:val="32"/>
          <w:szCs w:val="22"/>
          <w:highlight w:val="none"/>
          <w:lang w:val="en-US" w:eastAsia="zh-CN"/>
        </w:rPr>
        <w:t>，并负责</w:t>
      </w:r>
      <w:r>
        <w:rPr>
          <w:rFonts w:hint="eastAsia" w:ascii="仿宋_GB2312" w:hAnsi="仿宋_GB2312" w:cs="仿宋_GB2312"/>
          <w:color w:val="auto"/>
          <w:highlight w:val="none"/>
          <w:lang w:val="en-US" w:eastAsia="zh-CN"/>
        </w:rPr>
        <w:t>RS485-以太网转换器或隔离装置等设备</w:t>
      </w:r>
      <w:r>
        <w:rPr>
          <w:rFonts w:hint="eastAsia" w:ascii="仿宋_GB2312" w:hAnsi="仿宋_GB2312" w:cs="仿宋_GB2312"/>
          <w:b w:val="0"/>
          <w:bCs w:val="0"/>
          <w:color w:val="auto"/>
          <w:spacing w:val="0"/>
          <w:sz w:val="32"/>
          <w:szCs w:val="22"/>
          <w:highlight w:val="none"/>
          <w:lang w:val="en-US" w:eastAsia="zh-CN"/>
        </w:rPr>
        <w:t>的日常运维管理，确保设备运行正常，不影响数据采集和指令的传输</w:t>
      </w:r>
      <w:r>
        <w:rPr>
          <w:rFonts w:hint="eastAsia" w:ascii="仿宋_GB2312" w:hAnsi="仿宋_GB2312" w:cs="仿宋_GB2312"/>
          <w:color w:val="auto"/>
          <w:spacing w:val="0"/>
          <w:sz w:val="32"/>
          <w:szCs w:val="22"/>
          <w:highlight w:val="none"/>
          <w:lang w:eastAsia="zh-CN"/>
        </w:rPr>
        <w:t>。</w:t>
      </w:r>
    </w:p>
    <w:p w14:paraId="193727CD">
      <w:pPr>
        <w:numPr>
          <w:ilvl w:val="0"/>
          <w:numId w:val="3"/>
        </w:numPr>
        <w:ind w:left="16" w:firstLine="624" w:firstLineChars="0"/>
        <w:rPr>
          <w:rFonts w:hint="eastAsia" w:ascii="仿宋_GB2312" w:hAnsi="仿宋_GB2312" w:cs="仿宋_GB2312"/>
          <w:color w:val="auto"/>
          <w:highlight w:val="none"/>
          <w:lang w:val="en-US" w:eastAsia="zh-CN"/>
        </w:rPr>
      </w:pPr>
      <w:r>
        <w:rPr>
          <w:rFonts w:hint="eastAsia" w:ascii="仿宋_GB2312" w:hAnsi="仿宋_GB2312" w:eastAsia="仿宋_GB2312" w:cs="仿宋_GB2312"/>
          <w:color w:val="auto"/>
          <w:sz w:val="32"/>
          <w:szCs w:val="22"/>
          <w:highlight w:val="none"/>
        </w:rPr>
        <w:t>乙方需按照甲方提供的</w:t>
      </w:r>
      <w:r>
        <w:rPr>
          <w:rFonts w:hint="eastAsia" w:ascii="仿宋_GB2312" w:hAnsi="仿宋_GB2312" w:cs="仿宋_GB2312"/>
          <w:b w:val="0"/>
          <w:bCs w:val="0"/>
          <w:color w:val="auto"/>
          <w:highlight w:val="none"/>
          <w:lang w:val="en-US" w:eastAsia="zh-CN"/>
        </w:rPr>
        <w:t>商用密码SDK</w:t>
      </w:r>
      <w:r>
        <w:rPr>
          <w:rFonts w:hint="eastAsia" w:ascii="仿宋_GB2312" w:hAnsi="仿宋_GB2312" w:eastAsia="仿宋_GB2312" w:cs="仿宋_GB2312"/>
          <w:color w:val="auto"/>
          <w:sz w:val="32"/>
          <w:szCs w:val="22"/>
          <w:highlight w:val="none"/>
        </w:rPr>
        <w:t>技术说明完成在自有技术支持系统中的部署和集成，确保系统支持安全加密、解密及认证功能，并按要求定期配合甲方完成功能验证。</w:t>
      </w:r>
    </w:p>
    <w:p w14:paraId="35E7B6FE">
      <w:pPr>
        <w:pageBreakBefore w:val="0"/>
        <w:widowControl w:val="0"/>
        <w:numPr>
          <w:ilvl w:val="0"/>
          <w:numId w:val="3"/>
        </w:numPr>
        <w:kinsoku/>
        <w:wordWrap/>
        <w:overflowPunct/>
        <w:topLinePunct w:val="0"/>
        <w:autoSpaceDN/>
        <w:bidi w:val="0"/>
        <w:spacing w:line="560" w:lineRule="exact"/>
        <w:ind w:left="2" w:leftChars="0" w:firstLine="64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乙方</w:t>
      </w:r>
      <w:r>
        <w:rPr>
          <w:rFonts w:hint="eastAsia" w:ascii="Times New Roman" w:hAnsi="Times New Roman" w:eastAsia="仿宋_GB2312"/>
          <w:bCs/>
          <w:color w:val="auto"/>
          <w:kern w:val="0"/>
          <w:sz w:val="32"/>
          <w:szCs w:val="32"/>
          <w:highlight w:val="none"/>
          <w:lang w:val="en-US" w:eastAsia="zh-CN"/>
        </w:rPr>
        <w:t>负责与聚合用户签订资源代理</w:t>
      </w:r>
      <w:r>
        <w:rPr>
          <w:rFonts w:hint="eastAsia" w:ascii="Times New Roman" w:hAnsi="Times New Roman"/>
          <w:bCs/>
          <w:color w:val="auto"/>
          <w:kern w:val="0"/>
          <w:sz w:val="32"/>
          <w:szCs w:val="32"/>
          <w:highlight w:val="none"/>
          <w:lang w:val="en-US" w:eastAsia="zh-CN"/>
        </w:rPr>
        <w:t>合同</w:t>
      </w:r>
      <w:r>
        <w:rPr>
          <w:rFonts w:hint="eastAsia" w:ascii="Times New Roman" w:hAnsi="Times New Roman" w:eastAsia="仿宋_GB2312"/>
          <w:bCs/>
          <w:color w:val="auto"/>
          <w:kern w:val="0"/>
          <w:sz w:val="32"/>
          <w:szCs w:val="32"/>
          <w:highlight w:val="none"/>
          <w:lang w:val="en-US" w:eastAsia="zh-CN"/>
        </w:rPr>
        <w:t>，管控</w:t>
      </w:r>
      <w:r>
        <w:rPr>
          <w:rFonts w:hint="eastAsia" w:ascii="Times New Roman" w:hAnsi="Times New Roman" w:eastAsia="仿宋_GB2312"/>
          <w:bCs/>
          <w:color w:val="auto"/>
          <w:kern w:val="0"/>
          <w:sz w:val="32"/>
          <w:szCs w:val="32"/>
          <w:highlight w:val="none"/>
          <w:lang w:val="en-US" w:eastAsia="zh-Hans"/>
        </w:rPr>
        <w:t>和运营响应资源</w:t>
      </w:r>
      <w:r>
        <w:rPr>
          <w:rFonts w:hint="eastAsia"/>
          <w:bCs/>
          <w:color w:val="auto"/>
          <w:kern w:val="0"/>
          <w:sz w:val="32"/>
          <w:szCs w:val="32"/>
          <w:highlight w:val="none"/>
          <w:lang w:val="en-US" w:eastAsia="zh-CN"/>
        </w:rPr>
        <w:t>，</w:t>
      </w:r>
      <w:r>
        <w:rPr>
          <w:rFonts w:hint="eastAsia" w:ascii="仿宋_GB2312" w:hAnsi="仿宋_GB2312" w:eastAsia="仿宋_GB2312" w:cs="仿宋_GB2312"/>
          <w:color w:val="auto"/>
          <w:highlight w:val="none"/>
          <w:lang w:val="en-US" w:eastAsia="zh-CN"/>
        </w:rPr>
        <w:t>应向</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提供所聚合的</w:t>
      </w:r>
      <w:r>
        <w:rPr>
          <w:rFonts w:hint="eastAsia" w:ascii="仿宋_GB2312" w:hAnsi="仿宋_GB2312" w:cs="仿宋_GB2312"/>
          <w:color w:val="auto"/>
          <w:highlight w:val="none"/>
          <w:lang w:val="en-US" w:eastAsia="zh-CN"/>
        </w:rPr>
        <w:t>可调节资源</w:t>
      </w:r>
      <w:r>
        <w:rPr>
          <w:rFonts w:hint="eastAsia" w:ascii="仿宋_GB2312" w:hAnsi="仿宋_GB2312" w:eastAsia="仿宋_GB2312" w:cs="仿宋_GB2312"/>
          <w:color w:val="auto"/>
          <w:highlight w:val="none"/>
          <w:lang w:val="en-US" w:eastAsia="zh-CN"/>
        </w:rPr>
        <w:t>基础档案资料，</w:t>
      </w:r>
      <w:r>
        <w:rPr>
          <w:rFonts w:hint="eastAsia" w:ascii="仿宋_GB2312" w:hAnsi="仿宋_GB2312" w:cs="仿宋_GB2312"/>
          <w:color w:val="auto"/>
          <w:highlight w:val="none"/>
          <w:lang w:val="en-US" w:eastAsia="zh-CN"/>
        </w:rPr>
        <w:t>并保证</w:t>
      </w:r>
      <w:r>
        <w:rPr>
          <w:rFonts w:hint="eastAsia" w:ascii="仿宋_GB2312" w:hAnsi="仿宋_GB2312" w:eastAsia="仿宋_GB2312" w:cs="仿宋_GB2312"/>
          <w:color w:val="auto"/>
          <w:highlight w:val="none"/>
          <w:lang w:val="en-US" w:eastAsia="zh-CN"/>
        </w:rPr>
        <w:t>数据的准确性</w:t>
      </w:r>
      <w:r>
        <w:rPr>
          <w:rFonts w:hint="eastAsia" w:ascii="仿宋_GB2312" w:hAnsi="仿宋_GB2312" w:cs="仿宋_GB2312"/>
          <w:color w:val="auto"/>
          <w:highlight w:val="none"/>
          <w:lang w:val="en-US" w:eastAsia="zh-CN"/>
        </w:rPr>
        <w:t>、</w:t>
      </w:r>
      <w:r>
        <w:rPr>
          <w:rFonts w:hint="eastAsia" w:ascii="仿宋_GB2312" w:hAnsi="仿宋_GB2312" w:eastAsia="仿宋_GB2312" w:cs="仿宋_GB2312"/>
          <w:color w:val="auto"/>
          <w:highlight w:val="none"/>
          <w:lang w:val="en-US" w:eastAsia="zh-CN"/>
        </w:rPr>
        <w:t>及时更新。</w:t>
      </w:r>
    </w:p>
    <w:p w14:paraId="1DC4DAC3">
      <w:pPr>
        <w:widowControl w:val="0"/>
        <w:numPr>
          <w:ilvl w:val="0"/>
          <w:numId w:val="3"/>
        </w:numPr>
        <w:spacing w:line="560" w:lineRule="exact"/>
        <w:ind w:left="2" w:firstLine="640" w:firstLineChars="0"/>
        <w:rPr>
          <w:rFonts w:hint="eastAsia" w:ascii="仿宋_GB2312" w:hAnsi="仿宋_GB2312" w:cs="仿宋_GB2312"/>
          <w:color w:val="auto"/>
          <w:highlight w:val="none"/>
          <w:lang w:val="en-US" w:eastAsia="zh-CN"/>
        </w:rPr>
      </w:pP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应协助</w:t>
      </w:r>
      <w:r>
        <w:rPr>
          <w:rFonts w:hint="eastAsia" w:ascii="Times New Roman" w:hAnsi="Times New Roman" w:eastAsia="仿宋_GB2312"/>
          <w:bCs/>
          <w:color w:val="auto"/>
          <w:kern w:val="0"/>
          <w:sz w:val="32"/>
          <w:szCs w:val="32"/>
          <w:highlight w:val="none"/>
          <w:lang w:val="en-US" w:eastAsia="zh-CN"/>
        </w:rPr>
        <w:t>聚合</w:t>
      </w:r>
      <w:r>
        <w:rPr>
          <w:rFonts w:hint="eastAsia" w:ascii="仿宋_GB2312" w:hAnsi="仿宋_GB2312" w:eastAsia="仿宋_GB2312" w:cs="仿宋_GB2312"/>
          <w:color w:val="auto"/>
          <w:highlight w:val="none"/>
          <w:lang w:val="en-US" w:eastAsia="zh-CN"/>
        </w:rPr>
        <w:t>用户做好自身</w:t>
      </w:r>
      <w:r>
        <w:rPr>
          <w:rFonts w:hint="eastAsia" w:ascii="仿宋_GB2312" w:hAnsi="仿宋_GB2312" w:cs="仿宋_GB2312"/>
          <w:color w:val="auto"/>
          <w:highlight w:val="none"/>
          <w:lang w:val="en-US" w:eastAsia="zh-CN"/>
        </w:rPr>
        <w:t>可调节资源</w:t>
      </w:r>
      <w:r>
        <w:rPr>
          <w:rFonts w:hint="eastAsia" w:ascii="仿宋_GB2312" w:hAnsi="仿宋_GB2312" w:eastAsia="仿宋_GB2312" w:cs="仿宋_GB2312"/>
          <w:color w:val="auto"/>
          <w:highlight w:val="none"/>
          <w:lang w:val="en-US" w:eastAsia="zh-CN"/>
        </w:rPr>
        <w:t>梳理，与代理用户共同制定</w:t>
      </w:r>
      <w:r>
        <w:rPr>
          <w:rFonts w:hint="eastAsia" w:ascii="仿宋_GB2312" w:hAnsi="仿宋_GB2312" w:cs="仿宋_GB2312"/>
          <w:color w:val="auto"/>
          <w:highlight w:val="none"/>
          <w:lang w:val="en-US" w:eastAsia="zh-CN"/>
        </w:rPr>
        <w:t>可调节资源</w:t>
      </w:r>
      <w:r>
        <w:rPr>
          <w:rFonts w:hint="eastAsia" w:ascii="仿宋_GB2312" w:hAnsi="仿宋_GB2312" w:eastAsia="仿宋_GB2312" w:cs="仿宋_GB2312"/>
          <w:color w:val="auto"/>
          <w:highlight w:val="none"/>
          <w:lang w:val="en-US" w:eastAsia="zh-CN"/>
        </w:rPr>
        <w:t>接入方案，</w:t>
      </w:r>
      <w:r>
        <w:rPr>
          <w:rFonts w:hint="eastAsia" w:ascii="仿宋_GB2312" w:hAnsi="仿宋_GB2312" w:cs="仿宋_GB2312"/>
          <w:color w:val="auto"/>
          <w:highlight w:val="none"/>
          <w:lang w:val="en-US" w:eastAsia="zh-CN"/>
        </w:rPr>
        <w:t>并</w:t>
      </w:r>
      <w:r>
        <w:rPr>
          <w:rFonts w:hint="eastAsia" w:ascii="仿宋_GB2312" w:hAnsi="仿宋_GB2312" w:eastAsia="仿宋_GB2312" w:cs="仿宋_GB2312"/>
          <w:color w:val="auto"/>
          <w:highlight w:val="none"/>
          <w:lang w:val="en-US" w:eastAsia="zh-CN"/>
        </w:rPr>
        <w:t>接入</w:t>
      </w:r>
      <w:r>
        <w:rPr>
          <w:rFonts w:hint="eastAsia" w:ascii="仿宋_GB2312" w:hAnsi="仿宋_GB2312" w:cs="仿宋_GB2312"/>
          <w:color w:val="auto"/>
          <w:highlight w:val="none"/>
          <w:lang w:val="en-US" w:eastAsia="zh-CN"/>
        </w:rPr>
        <w:t>乙方自有技术支持系统</w:t>
      </w:r>
      <w:r>
        <w:rPr>
          <w:rFonts w:hint="eastAsia" w:ascii="仿宋_GB2312" w:hAnsi="仿宋_GB2312" w:eastAsia="仿宋_GB2312" w:cs="仿宋_GB2312"/>
          <w:color w:val="auto"/>
          <w:highlight w:val="none"/>
          <w:lang w:val="en-US" w:eastAsia="zh-CN"/>
        </w:rPr>
        <w:t>。</w:t>
      </w:r>
      <w:r>
        <w:rPr>
          <w:rFonts w:hint="eastAsia" w:ascii="仿宋_GB2312" w:hAnsi="仿宋_GB2312" w:cs="仿宋_GB2312"/>
          <w:color w:val="auto"/>
          <w:highlight w:val="none"/>
          <w:lang w:val="en-US" w:eastAsia="zh-CN"/>
        </w:rPr>
        <w:t>乙方应</w:t>
      </w:r>
      <w:r>
        <w:rPr>
          <w:rFonts w:hint="eastAsia"/>
          <w:bCs/>
          <w:color w:val="auto"/>
          <w:kern w:val="0"/>
          <w:sz w:val="32"/>
          <w:szCs w:val="32"/>
          <w:highlight w:val="none"/>
          <w:lang w:val="en-US" w:eastAsia="zh-CN"/>
        </w:rPr>
        <w:t>按细则规定</w:t>
      </w:r>
      <w:r>
        <w:rPr>
          <w:rFonts w:hint="eastAsia" w:ascii="仿宋_GB2312" w:hAnsi="仿宋_GB2312" w:cs="仿宋_GB2312"/>
          <w:color w:val="auto"/>
          <w:highlight w:val="none"/>
          <w:lang w:val="en-US" w:eastAsia="zh-CN"/>
        </w:rPr>
        <w:t>协调聚合用户配合甲方完成虚拟电厂交易单元的能力测试认定，调节能力、响应时间、响应持续时间、调节速率、调节精度应满足市场准入要求。</w:t>
      </w:r>
    </w:p>
    <w:p w14:paraId="38E2B9AD">
      <w:pPr>
        <w:pageBreakBefore w:val="0"/>
        <w:widowControl w:val="0"/>
        <w:numPr>
          <w:ilvl w:val="0"/>
          <w:numId w:val="3"/>
        </w:numPr>
        <w:kinsoku/>
        <w:wordWrap/>
        <w:overflowPunct/>
        <w:topLinePunct w:val="0"/>
        <w:autoSpaceDN/>
        <w:bidi w:val="0"/>
        <w:spacing w:line="560" w:lineRule="exact"/>
        <w:ind w:left="2" w:leftChars="0" w:firstLine="64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应配合</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完成系统对接建设工作，与</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共同完成</w:t>
      </w:r>
      <w:r>
        <w:rPr>
          <w:rFonts w:hint="eastAsia" w:ascii="仿宋_GB2312" w:hAnsi="仿宋_GB2312" w:cs="仿宋_GB2312"/>
          <w:color w:val="auto"/>
          <w:highlight w:val="none"/>
          <w:lang w:val="en-US" w:eastAsia="zh-CN"/>
        </w:rPr>
        <w:t>系统对接远程调节</w:t>
      </w:r>
      <w:r>
        <w:rPr>
          <w:rFonts w:hint="eastAsia" w:ascii="仿宋_GB2312" w:hAnsi="仿宋_GB2312" w:eastAsia="仿宋_GB2312" w:cs="仿宋_GB2312"/>
          <w:color w:val="auto"/>
          <w:highlight w:val="none"/>
          <w:lang w:val="en-US" w:eastAsia="zh-CN"/>
        </w:rPr>
        <w:t>功能有效性测试。完成系统接入后，</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应配合</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开展定期调试功能验证。</w:t>
      </w:r>
    </w:p>
    <w:p w14:paraId="0F1AD821">
      <w:pPr>
        <w:pageBreakBefore w:val="0"/>
        <w:widowControl w:val="0"/>
        <w:numPr>
          <w:ilvl w:val="0"/>
          <w:numId w:val="3"/>
        </w:numPr>
        <w:kinsoku/>
        <w:wordWrap/>
        <w:overflowPunct/>
        <w:topLinePunct w:val="0"/>
        <w:autoSpaceDN/>
        <w:bidi w:val="0"/>
        <w:spacing w:line="560" w:lineRule="exact"/>
        <w:ind w:left="2" w:leftChars="0" w:firstLine="640" w:firstLineChars="0"/>
        <w:textAlignment w:val="auto"/>
        <w:rPr>
          <w:rFonts w:hint="eastAsia"/>
          <w:color w:val="auto"/>
          <w:highlight w:val="none"/>
          <w:lang w:val="en-US" w:eastAsia="zh-CN"/>
        </w:rPr>
      </w:pPr>
      <w:r>
        <w:rPr>
          <w:rFonts w:hint="eastAsia"/>
          <w:bCs/>
          <w:color w:val="auto"/>
          <w:kern w:val="0"/>
          <w:sz w:val="32"/>
          <w:szCs w:val="32"/>
          <w:highlight w:val="none"/>
          <w:lang w:val="en-US" w:eastAsia="zh-CN"/>
        </w:rPr>
        <w:t>乙方应</w:t>
      </w:r>
      <w:r>
        <w:rPr>
          <w:rFonts w:hint="eastAsia" w:ascii="Times New Roman" w:hAnsi="Times New Roman" w:eastAsia="仿宋_GB2312"/>
          <w:bCs/>
          <w:color w:val="auto"/>
          <w:kern w:val="0"/>
          <w:sz w:val="32"/>
          <w:szCs w:val="32"/>
          <w:highlight w:val="none"/>
          <w:lang w:val="en-US" w:eastAsia="zh-CN"/>
        </w:rPr>
        <w:t>负责运行过程中</w:t>
      </w:r>
      <w:r>
        <w:rPr>
          <w:rFonts w:hint="eastAsia"/>
          <w:bCs/>
          <w:color w:val="auto"/>
          <w:kern w:val="0"/>
          <w:sz w:val="32"/>
          <w:szCs w:val="32"/>
          <w:highlight w:val="none"/>
          <w:lang w:val="en-US" w:eastAsia="zh-CN"/>
        </w:rPr>
        <w:t>，按月通过自有技术支持系统按月</w:t>
      </w:r>
      <w:r>
        <w:rPr>
          <w:rFonts w:hint="eastAsia" w:ascii="Times New Roman" w:hAnsi="Times New Roman" w:eastAsia="仿宋_GB2312"/>
          <w:bCs/>
          <w:color w:val="auto"/>
          <w:kern w:val="0"/>
          <w:sz w:val="32"/>
          <w:szCs w:val="32"/>
          <w:highlight w:val="none"/>
          <w:lang w:val="en-US" w:eastAsia="zh-CN"/>
        </w:rPr>
        <w:t>更新</w:t>
      </w:r>
      <w:r>
        <w:rPr>
          <w:rFonts w:hint="eastAsia"/>
          <w:bCs/>
          <w:color w:val="auto"/>
          <w:kern w:val="0"/>
          <w:sz w:val="32"/>
          <w:szCs w:val="32"/>
          <w:highlight w:val="none"/>
          <w:lang w:val="en-US" w:eastAsia="zh-CN"/>
        </w:rPr>
        <w:t>上报</w:t>
      </w:r>
      <w:r>
        <w:rPr>
          <w:rFonts w:hint="eastAsia" w:ascii="Times New Roman" w:hAnsi="Times New Roman" w:eastAsia="仿宋_GB2312"/>
          <w:bCs/>
          <w:color w:val="auto"/>
          <w:kern w:val="0"/>
          <w:sz w:val="32"/>
          <w:szCs w:val="32"/>
          <w:highlight w:val="none"/>
          <w:lang w:val="en-US" w:eastAsia="zh-CN"/>
        </w:rPr>
        <w:t>聚合</w:t>
      </w:r>
      <w:r>
        <w:rPr>
          <w:rFonts w:hint="eastAsia"/>
          <w:bCs/>
          <w:color w:val="auto"/>
          <w:kern w:val="0"/>
          <w:sz w:val="32"/>
          <w:szCs w:val="32"/>
          <w:highlight w:val="none"/>
          <w:lang w:val="en-US" w:eastAsia="zh-CN"/>
        </w:rPr>
        <w:t>用户</w:t>
      </w:r>
      <w:r>
        <w:rPr>
          <w:rFonts w:hint="eastAsia" w:ascii="Times New Roman" w:hAnsi="Times New Roman" w:eastAsia="仿宋_GB2312"/>
          <w:bCs/>
          <w:color w:val="auto"/>
          <w:kern w:val="0"/>
          <w:sz w:val="32"/>
          <w:szCs w:val="32"/>
          <w:highlight w:val="none"/>
          <w:lang w:val="en-US" w:eastAsia="zh-CN"/>
        </w:rPr>
        <w:t>的状态</w:t>
      </w:r>
      <w:r>
        <w:rPr>
          <w:rFonts w:hint="eastAsia"/>
          <w:bCs/>
          <w:color w:val="auto"/>
          <w:kern w:val="0"/>
          <w:sz w:val="32"/>
          <w:szCs w:val="32"/>
          <w:highlight w:val="none"/>
          <w:lang w:val="en-US" w:eastAsia="zh-CN"/>
        </w:rPr>
        <w:t>、实际可调节能力，每年接受甲方开展的能力抽查测试。如实际调节能力发生重大变化，应接受甲方组织的能力调用测试，按细则规定向相关市场运营机构提出调节能力变更申请并完成可调节能力变更测试，</w:t>
      </w:r>
      <w:r>
        <w:rPr>
          <w:rFonts w:hint="eastAsia" w:ascii="Times New Roman" w:hAnsi="Times New Roman" w:eastAsia="仿宋_GB2312"/>
          <w:bCs/>
          <w:color w:val="auto"/>
          <w:kern w:val="0"/>
          <w:sz w:val="32"/>
          <w:szCs w:val="32"/>
          <w:highlight w:val="none"/>
          <w:lang w:val="en-US" w:eastAsia="zh-CN"/>
        </w:rPr>
        <w:t>保证</w:t>
      </w:r>
      <w:r>
        <w:rPr>
          <w:rFonts w:hint="eastAsia"/>
          <w:bCs/>
          <w:color w:val="auto"/>
          <w:kern w:val="0"/>
          <w:sz w:val="32"/>
          <w:szCs w:val="32"/>
          <w:highlight w:val="none"/>
          <w:lang w:val="en-US" w:eastAsia="zh-CN"/>
        </w:rPr>
        <w:t>可</w:t>
      </w:r>
      <w:r>
        <w:rPr>
          <w:rFonts w:hint="eastAsia" w:ascii="Times New Roman" w:hAnsi="Times New Roman" w:eastAsia="仿宋_GB2312"/>
          <w:bCs/>
          <w:color w:val="auto"/>
          <w:kern w:val="0"/>
          <w:sz w:val="32"/>
          <w:szCs w:val="32"/>
          <w:highlight w:val="none"/>
          <w:lang w:val="en-US" w:eastAsia="zh-CN"/>
        </w:rPr>
        <w:t>调节能力的真实性</w:t>
      </w:r>
      <w:r>
        <w:rPr>
          <w:rFonts w:hint="eastAsia"/>
          <w:bCs/>
          <w:color w:val="auto"/>
          <w:kern w:val="0"/>
          <w:sz w:val="32"/>
          <w:szCs w:val="32"/>
          <w:highlight w:val="none"/>
          <w:lang w:val="en-US" w:eastAsia="zh-CN"/>
        </w:rPr>
        <w:t>。如测试结果不满足市场准入要求，乙方应及时进行整改。</w:t>
      </w:r>
    </w:p>
    <w:p w14:paraId="6FF56071">
      <w:pPr>
        <w:pageBreakBefore w:val="0"/>
        <w:widowControl w:val="0"/>
        <w:numPr>
          <w:ilvl w:val="0"/>
          <w:numId w:val="3"/>
        </w:numPr>
        <w:kinsoku/>
        <w:wordWrap/>
        <w:overflowPunct/>
        <w:topLinePunct w:val="0"/>
        <w:autoSpaceDN/>
        <w:bidi w:val="0"/>
        <w:spacing w:line="560" w:lineRule="exact"/>
        <w:ind w:left="2" w:leftChars="0" w:firstLine="64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在需求响应执行期间，按照政府政策和电力市场相关规则要求纳入需求响应资源（含可调节负荷资源类）管理，按照</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通知执行相应的需求响应类别，并依据市场规则获取相应的经济收益。具体参与方式与补偿价格根据广东省市场化需求响应实施细则等市场规则执行。</w:t>
      </w:r>
    </w:p>
    <w:p w14:paraId="647948B6">
      <w:pPr>
        <w:pageBreakBefore w:val="0"/>
        <w:widowControl w:val="0"/>
        <w:numPr>
          <w:ilvl w:val="0"/>
          <w:numId w:val="3"/>
        </w:numPr>
        <w:kinsoku/>
        <w:wordWrap/>
        <w:overflowPunct/>
        <w:topLinePunct w:val="0"/>
        <w:autoSpaceDN/>
        <w:bidi w:val="0"/>
        <w:spacing w:line="560" w:lineRule="exact"/>
        <w:ind w:left="2" w:leftChars="0" w:firstLine="64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应遵循国家网络安全法律法规及电力行业规章制度，落实自身设备的网络安全防护措施，</w:t>
      </w:r>
      <w:r>
        <w:rPr>
          <w:rFonts w:hint="eastAsia" w:ascii="仿宋_GB2312" w:hAnsi="仿宋_GB2312" w:cs="仿宋_GB2312"/>
          <w:color w:val="auto"/>
          <w:highlight w:val="none"/>
          <w:lang w:val="en-US" w:eastAsia="zh-CN"/>
        </w:rPr>
        <w:t>制定网络安全事件应急预案，</w:t>
      </w:r>
      <w:r>
        <w:rPr>
          <w:rFonts w:hint="eastAsia" w:ascii="仿宋_GB2312" w:hAnsi="仿宋_GB2312" w:eastAsia="仿宋_GB2312" w:cs="仿宋_GB2312"/>
          <w:color w:val="auto"/>
          <w:highlight w:val="none"/>
          <w:lang w:val="en-US" w:eastAsia="zh-CN"/>
        </w:rPr>
        <w:t>及时处置因自身导致的网络安全异常事件，并向</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提供事件信息。因</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违法违规或处置不当造成的损失，由</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自行承担。</w:t>
      </w:r>
    </w:p>
    <w:p w14:paraId="158395B0">
      <w:pPr>
        <w:keepNext w:val="0"/>
        <w:keepLines w:val="0"/>
        <w:pageBreakBefore w:val="0"/>
        <w:widowControl w:val="0"/>
        <w:numPr>
          <w:ilvl w:val="0"/>
          <w:numId w:val="3"/>
        </w:numPr>
        <w:kinsoku/>
        <w:wordWrap/>
        <w:overflowPunct/>
        <w:topLinePunct w:val="0"/>
        <w:autoSpaceDE/>
        <w:autoSpaceDN/>
        <w:bidi w:val="0"/>
        <w:spacing w:line="560" w:lineRule="exact"/>
        <w:ind w:left="2" w:leftChars="0" w:firstLine="640" w:firstLine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应指定负责电力负荷管理工作的联系人，联系人1（姓名：     ，联系手机：      ），联系人2（姓名：     ，联系手机：      ），联系人3（姓名：     ，联系手机：      ）。如更换联系人或联系方式，</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应及时以书面形式通知</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进行更改。收到</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通知后，</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应在2个工作日内完成联系信息变更。因</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未及时告知联系人变更或提供的联系信息有误，导致</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无法收到负荷管理和恢复负荷通知等信息造成的损失由</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承担。</w:t>
      </w:r>
    </w:p>
    <w:p w14:paraId="2CBBE295">
      <w:pPr>
        <w:pStyle w:val="7"/>
        <w:keepNext w:val="0"/>
        <w:keepLines w:val="0"/>
        <w:pageBreakBefore w:val="0"/>
        <w:widowControl w:val="0"/>
        <w:numPr>
          <w:ilvl w:val="2"/>
          <w:numId w:val="0"/>
        </w:numPr>
        <w:tabs>
          <w:tab w:val="left" w:pos="0"/>
        </w:tabs>
        <w:kinsoku/>
        <w:wordWrap/>
        <w:overflowPunct/>
        <w:topLinePunct w:val="0"/>
        <w:autoSpaceDE/>
        <w:autoSpaceDN/>
        <w:bidi w:val="0"/>
        <w:adjustRightInd w:val="0"/>
        <w:snapToGrid w:val="0"/>
        <w:spacing w:line="560" w:lineRule="exact"/>
        <w:ind w:firstLine="640" w:firstLineChars="200"/>
        <w:textAlignment w:val="auto"/>
        <w:rPr>
          <w:rFonts w:hint="eastAsia"/>
          <w:color w:val="auto"/>
          <w:highlight w:val="none"/>
          <w:lang w:eastAsia="zh-CN"/>
        </w:rPr>
      </w:pPr>
      <w:r>
        <w:rPr>
          <w:rFonts w:hint="eastAsia" w:ascii="黑体" w:hAnsi="黑体" w:cs="黑体"/>
          <w:b w:val="0"/>
          <w:bCs/>
          <w:color w:val="auto"/>
          <w:kern w:val="44"/>
          <w:sz w:val="32"/>
          <w:szCs w:val="32"/>
          <w:highlight w:val="none"/>
          <w:lang w:val="en-US" w:eastAsia="zh-CN" w:bidi="ar-SA"/>
        </w:rPr>
        <w:t>二、</w:t>
      </w:r>
      <w:r>
        <w:rPr>
          <w:rFonts w:hint="eastAsia" w:ascii="黑体" w:hAnsi="黑体" w:eastAsia="黑体" w:cs="黑体"/>
          <w:b w:val="0"/>
          <w:bCs/>
          <w:color w:val="auto"/>
          <w:kern w:val="44"/>
          <w:sz w:val="32"/>
          <w:szCs w:val="32"/>
          <w:highlight w:val="none"/>
          <w:lang w:val="en-US" w:eastAsia="zh-CN" w:bidi="ar-SA"/>
        </w:rPr>
        <w:t>遵守细则和法规</w:t>
      </w:r>
    </w:p>
    <w:p w14:paraId="4309DC6F">
      <w:pPr>
        <w:keepNext w:val="0"/>
        <w:keepLines w:val="0"/>
        <w:pageBreakBefore w:val="0"/>
        <w:widowControl w:val="0"/>
        <w:kinsoku/>
        <w:wordWrap/>
        <w:overflowPunct/>
        <w:topLinePunct w:val="0"/>
        <w:autoSpaceDE/>
        <w:autoSpaceDN/>
        <w:bidi w:val="0"/>
        <w:adjustRightInd w:val="0"/>
        <w:snapToGrid w:val="0"/>
        <w:spacing w:line="560" w:lineRule="exact"/>
        <w:ind w:firstLine="851" w:firstLineChars="266"/>
        <w:textAlignment w:val="auto"/>
        <w:outlineLvl w:val="9"/>
        <w:rPr>
          <w:rFonts w:hint="eastAsia" w:ascii="仿宋_GB2312" w:hAnsi="仿宋_GB2312" w:eastAsia="仿宋_GB2312" w:cs="仿宋_GB2312"/>
          <w:color w:val="auto"/>
          <w:kern w:val="2"/>
          <w:sz w:val="32"/>
          <w:szCs w:val="24"/>
          <w:highlight w:val="none"/>
          <w:lang w:val="en-US" w:eastAsia="zh-CN" w:bidi="ar-SA"/>
        </w:rPr>
      </w:pPr>
      <w:r>
        <w:rPr>
          <w:rFonts w:hint="eastAsia" w:ascii="仿宋_GB2312" w:hAnsi="仿宋_GB2312" w:eastAsia="仿宋_GB2312" w:cs="仿宋_GB2312"/>
          <w:color w:val="auto"/>
          <w:kern w:val="2"/>
          <w:sz w:val="32"/>
          <w:szCs w:val="24"/>
          <w:highlight w:val="none"/>
          <w:lang w:val="en-US" w:eastAsia="zh-CN" w:bidi="ar-SA"/>
        </w:rPr>
        <w:t>1.本协议条款执行过程中，甲方和乙方均应严格遵守《电力监控系统安全防护规定》《广东省虚拟电厂运营管理实施细则（试行）》及其他相关电力市场运作规定和国家电力法规执行。</w:t>
      </w:r>
      <w:bookmarkStart w:id="0" w:name="_GoBack"/>
      <w:bookmarkEnd w:id="0"/>
    </w:p>
    <w:p w14:paraId="743370F0">
      <w:pPr>
        <w:keepNext w:val="0"/>
        <w:keepLines w:val="0"/>
        <w:pageBreakBefore w:val="0"/>
        <w:widowControl w:val="0"/>
        <w:kinsoku/>
        <w:wordWrap/>
        <w:overflowPunct/>
        <w:topLinePunct w:val="0"/>
        <w:autoSpaceDE/>
        <w:autoSpaceDN/>
        <w:bidi w:val="0"/>
        <w:adjustRightInd w:val="0"/>
        <w:snapToGrid w:val="0"/>
        <w:spacing w:line="560" w:lineRule="exact"/>
        <w:ind w:firstLineChars="200"/>
        <w:textAlignment w:val="auto"/>
        <w:outlineLvl w:val="9"/>
        <w:rPr>
          <w:rFonts w:hint="eastAsia" w:ascii="仿宋_GB2312" w:hAnsi="仿宋_GB2312" w:eastAsia="仿宋_GB2312" w:cs="仿宋_GB2312"/>
          <w:color w:val="auto"/>
          <w:kern w:val="2"/>
          <w:sz w:val="32"/>
          <w:szCs w:val="24"/>
          <w:highlight w:val="none"/>
          <w:lang w:val="en-US" w:eastAsia="zh-CN" w:bidi="ar-SA"/>
        </w:rPr>
      </w:pPr>
      <w:r>
        <w:rPr>
          <w:rFonts w:hint="eastAsia" w:ascii="仿宋_GB2312" w:hAnsi="仿宋_GB2312" w:eastAsia="仿宋_GB2312" w:cs="仿宋_GB2312"/>
          <w:color w:val="auto"/>
          <w:kern w:val="2"/>
          <w:sz w:val="32"/>
          <w:szCs w:val="24"/>
          <w:highlight w:val="none"/>
          <w:lang w:val="en-US" w:eastAsia="zh-CN" w:bidi="ar-SA"/>
        </w:rPr>
        <w:t>2.双方应确保所有操作、系统升级、设备维护及市场参与行为均符合国家和地区的</w:t>
      </w:r>
      <w:r>
        <w:rPr>
          <w:rFonts w:hint="eastAsia" w:ascii="仿宋_GB2312" w:hAnsi="仿宋_GB2312" w:cs="仿宋_GB2312"/>
          <w:color w:val="auto"/>
          <w:kern w:val="2"/>
          <w:sz w:val="32"/>
          <w:szCs w:val="24"/>
          <w:highlight w:val="none"/>
          <w:lang w:val="en-US" w:eastAsia="zh-CN" w:bidi="ar-SA"/>
        </w:rPr>
        <w:t>法律法规</w:t>
      </w:r>
      <w:r>
        <w:rPr>
          <w:rFonts w:hint="eastAsia" w:ascii="仿宋_GB2312" w:hAnsi="仿宋_GB2312" w:eastAsia="仿宋_GB2312" w:cs="仿宋_GB2312"/>
          <w:color w:val="auto"/>
          <w:kern w:val="2"/>
          <w:sz w:val="32"/>
          <w:szCs w:val="24"/>
          <w:highlight w:val="none"/>
          <w:lang w:val="en-US" w:eastAsia="zh-CN" w:bidi="ar-SA"/>
        </w:rPr>
        <w:t>以及技术标准。</w:t>
      </w:r>
    </w:p>
    <w:p w14:paraId="2A96F550">
      <w:pPr>
        <w:keepNext w:val="0"/>
        <w:keepLines w:val="0"/>
        <w:pageBreakBefore w:val="0"/>
        <w:widowControl w:val="0"/>
        <w:kinsoku/>
        <w:wordWrap/>
        <w:overflowPunct/>
        <w:topLinePunct w:val="0"/>
        <w:autoSpaceDE/>
        <w:autoSpaceDN/>
        <w:bidi w:val="0"/>
        <w:adjustRightInd w:val="0"/>
        <w:snapToGrid w:val="0"/>
        <w:spacing w:line="560" w:lineRule="exact"/>
        <w:ind w:firstLineChars="200"/>
        <w:textAlignment w:val="auto"/>
        <w:outlineLvl w:val="9"/>
        <w:rPr>
          <w:rFonts w:hint="eastAsia" w:ascii="仿宋_GB2312" w:hAnsi="仿宋_GB2312" w:eastAsia="仿宋_GB2312" w:cs="仿宋_GB2312"/>
          <w:color w:val="auto"/>
          <w:kern w:val="2"/>
          <w:sz w:val="32"/>
          <w:szCs w:val="24"/>
          <w:highlight w:val="none"/>
          <w:lang w:val="en-US" w:eastAsia="zh-CN" w:bidi="ar-SA"/>
        </w:rPr>
      </w:pPr>
      <w:r>
        <w:rPr>
          <w:rFonts w:hint="eastAsia" w:ascii="仿宋_GB2312" w:hAnsi="仿宋_GB2312" w:eastAsia="仿宋_GB2312" w:cs="仿宋_GB2312"/>
          <w:color w:val="auto"/>
          <w:kern w:val="2"/>
          <w:sz w:val="32"/>
          <w:szCs w:val="24"/>
          <w:highlight w:val="none"/>
          <w:lang w:val="en-US" w:eastAsia="zh-CN" w:bidi="ar-SA"/>
        </w:rPr>
        <w:t>3.任何因不遵守相关法规和细则而引起的法律后果或经济损失，由违规方承担相应责任。</w:t>
      </w:r>
    </w:p>
    <w:p w14:paraId="6C5FD067">
      <w:pPr>
        <w:pStyle w:val="5"/>
        <w:keepNext w:val="0"/>
        <w:keepLines w:val="0"/>
        <w:pageBreakBefore w:val="0"/>
        <w:widowControl w:val="0"/>
        <w:numPr>
          <w:ilvl w:val="0"/>
          <w:numId w:val="0"/>
        </w:numPr>
        <w:tabs>
          <w:tab w:val="clear" w:pos="420"/>
        </w:tabs>
        <w:kinsoku/>
        <w:wordWrap/>
        <w:overflowPunct/>
        <w:topLinePunct w:val="0"/>
        <w:autoSpaceDE/>
        <w:autoSpaceDN/>
        <w:bidi w:val="0"/>
        <w:adjustRightInd w:val="0"/>
        <w:snapToGrid w:val="0"/>
        <w:spacing w:line="560" w:lineRule="exact"/>
        <w:ind w:leftChars="0" w:firstLine="643" w:firstLineChars="200"/>
        <w:textAlignment w:val="auto"/>
        <w:outlineLvl w:val="2"/>
        <w:rPr>
          <w:rFonts w:hint="eastAsia"/>
          <w:color w:val="auto"/>
          <w:sz w:val="32"/>
          <w:szCs w:val="32"/>
          <w:highlight w:val="none"/>
          <w:lang w:val="en-US" w:eastAsia="zh-CN"/>
        </w:rPr>
      </w:pPr>
      <w:r>
        <w:rPr>
          <w:rFonts w:hint="eastAsia"/>
          <w:color w:val="auto"/>
          <w:sz w:val="32"/>
          <w:szCs w:val="32"/>
          <w:highlight w:val="none"/>
          <w:lang w:val="en-US" w:eastAsia="zh-CN"/>
        </w:rPr>
        <w:t>三、协议生效及终止</w:t>
      </w:r>
    </w:p>
    <w:p w14:paraId="2C2DC4F3">
      <w:pPr>
        <w:keepNext w:val="0"/>
        <w:keepLines w:val="0"/>
        <w:pageBreakBefore w:val="0"/>
        <w:widowControl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1.</w:t>
      </w:r>
      <w:r>
        <w:rPr>
          <w:rFonts w:hint="eastAsia" w:ascii="仿宋_GB2312" w:hAnsi="仿宋_GB2312" w:eastAsia="仿宋_GB2312" w:cs="仿宋_GB2312"/>
          <w:color w:val="auto"/>
          <w:highlight w:val="none"/>
          <w:lang w:val="en-US" w:eastAsia="zh-CN"/>
        </w:rPr>
        <w:t>本协议自双方法定代表人或委托代理人签字，并加盖公章或合同专用章后生效。接入负荷管理系统的</w:t>
      </w:r>
      <w:r>
        <w:rPr>
          <w:rFonts w:hint="eastAsia" w:ascii="仿宋_GB2312" w:hAnsi="仿宋_GB2312" w:cs="仿宋_GB2312"/>
          <w:color w:val="auto"/>
          <w:highlight w:val="none"/>
          <w:lang w:val="en-US" w:eastAsia="zh-CN"/>
        </w:rPr>
        <w:t>运营商技术支持系统</w:t>
      </w:r>
      <w:r>
        <w:rPr>
          <w:rFonts w:hint="eastAsia" w:ascii="仿宋_GB2312" w:hAnsi="仿宋_GB2312" w:eastAsia="仿宋_GB2312" w:cs="仿宋_GB2312"/>
          <w:color w:val="auto"/>
          <w:highlight w:val="none"/>
          <w:lang w:val="en-US" w:eastAsia="zh-CN"/>
        </w:rPr>
        <w:t>信息</w:t>
      </w:r>
      <w:r>
        <w:rPr>
          <w:rFonts w:hint="eastAsia" w:ascii="仿宋_GB2312" w:hAnsi="仿宋_GB2312" w:cs="仿宋_GB2312"/>
          <w:color w:val="auto"/>
          <w:highlight w:val="none"/>
          <w:lang w:val="en-US" w:eastAsia="zh-CN"/>
        </w:rPr>
        <w:t>、可调节</w:t>
      </w:r>
      <w:r>
        <w:rPr>
          <w:rFonts w:hint="eastAsia" w:ascii="仿宋_GB2312" w:hAnsi="仿宋_GB2312" w:eastAsia="仿宋_GB2312" w:cs="仿宋_GB2312"/>
          <w:color w:val="auto"/>
          <w:highlight w:val="none"/>
          <w:lang w:val="en-US" w:eastAsia="zh-CN"/>
        </w:rPr>
        <w:t>负荷信息</w:t>
      </w:r>
      <w:r>
        <w:rPr>
          <w:rFonts w:hint="eastAsia" w:ascii="仿宋_GB2312" w:hAnsi="仿宋_GB2312" w:cs="仿宋_GB2312"/>
          <w:color w:val="auto"/>
          <w:highlight w:val="none"/>
          <w:lang w:val="en-US" w:eastAsia="zh-CN"/>
        </w:rPr>
        <w:t>等</w:t>
      </w:r>
      <w:r>
        <w:rPr>
          <w:rFonts w:hint="eastAsia" w:ascii="仿宋_GB2312" w:hAnsi="仿宋_GB2312" w:eastAsia="仿宋_GB2312" w:cs="仿宋_GB2312"/>
          <w:color w:val="auto"/>
          <w:highlight w:val="none"/>
          <w:lang w:val="en-US" w:eastAsia="zh-CN"/>
        </w:rPr>
        <w:t>需要变更的，双方须协商一致，另行签订补充或变更协议，补充或变更协议与本协议具有同等效力。</w:t>
      </w:r>
    </w:p>
    <w:p w14:paraId="01F3BA32">
      <w:pPr>
        <w:keepNext w:val="0"/>
        <w:keepLines w:val="0"/>
        <w:pageBreakBefore w:val="0"/>
        <w:widowControl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2.</w:t>
      </w:r>
      <w:r>
        <w:rPr>
          <w:rFonts w:hint="eastAsia" w:ascii="仿宋_GB2312" w:hAnsi="仿宋_GB2312" w:eastAsia="仿宋_GB2312" w:cs="仿宋_GB2312"/>
          <w:color w:val="auto"/>
          <w:highlight w:val="none"/>
          <w:lang w:val="en-US" w:eastAsia="zh-CN"/>
        </w:rPr>
        <w:t>本协议自签署之日起生效，有效期为五年。有效期满后若</w:t>
      </w:r>
      <w:r>
        <w:rPr>
          <w:rFonts w:hint="eastAsia" w:ascii="仿宋_GB2312" w:hAnsi="仿宋_GB2312" w:cs="仿宋_GB2312"/>
          <w:color w:val="auto"/>
          <w:highlight w:val="none"/>
          <w:lang w:val="en-US" w:eastAsia="zh-CN"/>
        </w:rPr>
        <w:t>甲乙</w:t>
      </w:r>
      <w:r>
        <w:rPr>
          <w:rFonts w:hint="eastAsia" w:ascii="仿宋_GB2312" w:hAnsi="仿宋_GB2312" w:eastAsia="仿宋_GB2312" w:cs="仿宋_GB2312"/>
          <w:color w:val="auto"/>
          <w:highlight w:val="none"/>
          <w:lang w:val="en-US" w:eastAsia="zh-CN"/>
        </w:rPr>
        <w:t>双方均未对本协议条款提出书面异议，本协议自动展期，展期不受次数限制。在协议履行期间，若一方书面提出终止协议的，双方应协商确定协议终止履行日期。由于国家政策调整、</w:t>
      </w: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能力变化或不可抗力等原因造成本协议或</w:t>
      </w:r>
      <w:r>
        <w:rPr>
          <w:rFonts w:hint="eastAsia" w:ascii="仿宋_GB2312" w:hAnsi="仿宋_GB2312" w:cs="仿宋_GB2312"/>
          <w:color w:val="auto"/>
          <w:highlight w:val="none"/>
          <w:lang w:val="en-US" w:eastAsia="zh-CN"/>
        </w:rPr>
        <w:t>附录</w:t>
      </w:r>
      <w:r>
        <w:rPr>
          <w:rFonts w:hint="eastAsia" w:ascii="仿宋_GB2312" w:hAnsi="仿宋_GB2312" w:eastAsia="仿宋_GB2312" w:cs="仿宋_GB2312"/>
          <w:color w:val="auto"/>
          <w:highlight w:val="none"/>
          <w:lang w:val="en-US" w:eastAsia="zh-CN"/>
        </w:rPr>
        <w:t>无法继续履行时，双方可协商一致后终止本协议执行。</w:t>
      </w:r>
    </w:p>
    <w:p w14:paraId="181B96C7">
      <w:pPr>
        <w:keepNext w:val="0"/>
        <w:keepLines w:val="0"/>
        <w:pageBreakBefore w:val="0"/>
        <w:widowControl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3.</w:t>
      </w:r>
      <w:r>
        <w:rPr>
          <w:rFonts w:hint="eastAsia" w:ascii="仿宋_GB2312" w:hAnsi="仿宋_GB2312" w:eastAsia="仿宋_GB2312" w:cs="仿宋_GB2312"/>
          <w:color w:val="auto"/>
          <w:highlight w:val="none"/>
          <w:lang w:val="en-US" w:eastAsia="zh-CN"/>
        </w:rPr>
        <w:t>本协议履行期间内，双方发生的争议，由双方通过协商或司法途径处理解决。</w:t>
      </w:r>
    </w:p>
    <w:p w14:paraId="0C8C3EB4">
      <w:pPr>
        <w:keepNext w:val="0"/>
        <w:keepLines w:val="0"/>
        <w:pageBreakBefore w:val="0"/>
        <w:widowControl w:val="0"/>
        <w:numPr>
          <w:ilvl w:val="1"/>
          <w:numId w:val="0"/>
        </w:numPr>
        <w:tabs>
          <w:tab w:val="left" w:pos="6080"/>
        </w:tabs>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cs="仿宋_GB2312"/>
          <w:color w:val="auto"/>
          <w:highlight w:val="none"/>
          <w:lang w:val="en-US" w:eastAsia="zh-CN"/>
        </w:rPr>
        <w:t>4.</w:t>
      </w:r>
      <w:r>
        <w:rPr>
          <w:rFonts w:hint="eastAsia" w:ascii="仿宋_GB2312" w:hAnsi="仿宋_GB2312" w:eastAsia="仿宋_GB2312" w:cs="仿宋_GB2312"/>
          <w:color w:val="auto"/>
          <w:highlight w:val="none"/>
          <w:lang w:val="en-US" w:eastAsia="zh-CN"/>
        </w:rPr>
        <w:t>本协议正本一式叁份，</w:t>
      </w:r>
      <w:r>
        <w:rPr>
          <w:rFonts w:hint="eastAsia" w:ascii="仿宋_GB2312" w:hAnsi="仿宋_GB2312" w:cs="仿宋_GB2312"/>
          <w:color w:val="auto"/>
          <w:highlight w:val="none"/>
          <w:lang w:val="en-US" w:eastAsia="zh-CN"/>
        </w:rPr>
        <w:t>具有</w:t>
      </w:r>
      <w:r>
        <w:rPr>
          <w:rFonts w:hint="eastAsia" w:ascii="仿宋_GB2312" w:hAnsi="仿宋_GB2312" w:eastAsia="仿宋_GB2312" w:cs="仿宋_GB2312"/>
          <w:color w:val="auto"/>
          <w:highlight w:val="none"/>
          <w:lang w:val="en-US" w:eastAsia="zh-CN"/>
        </w:rPr>
        <w:t>同等法律效力，</w:t>
      </w:r>
      <w:r>
        <w:rPr>
          <w:rFonts w:hint="eastAsia" w:ascii="仿宋_GB2312" w:hAnsi="仿宋_GB2312" w:cs="仿宋_GB2312"/>
          <w:color w:val="auto"/>
          <w:highlight w:val="none"/>
          <w:lang w:val="en-US" w:eastAsia="zh-CN"/>
        </w:rPr>
        <w:t>甲乙双方</w:t>
      </w:r>
      <w:r>
        <w:rPr>
          <w:rFonts w:hint="eastAsia" w:ascii="仿宋_GB2312" w:hAnsi="仿宋_GB2312" w:eastAsia="仿宋_GB2312" w:cs="仿宋_GB2312"/>
          <w:color w:val="auto"/>
          <w:highlight w:val="none"/>
          <w:lang w:val="en-US" w:eastAsia="zh-CN"/>
        </w:rPr>
        <w:t>各执壹份，壹份由</w:t>
      </w: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报送属地电力主管部门备案。</w:t>
      </w:r>
    </w:p>
    <w:p w14:paraId="17E1534C">
      <w:pPr>
        <w:pStyle w:val="12"/>
        <w:keepNext w:val="0"/>
        <w:keepLines w:val="0"/>
        <w:pageBreakBefore w:val="0"/>
        <w:widowControl w:val="0"/>
        <w:kinsoku/>
        <w:wordWrap/>
        <w:overflowPunct/>
        <w:topLinePunct w:val="0"/>
        <w:autoSpaceDE/>
        <w:autoSpaceDN/>
        <w:bidi w:val="0"/>
        <w:spacing w:line="560" w:lineRule="exact"/>
        <w:textAlignment w:val="auto"/>
        <w:rPr>
          <w:rFonts w:hint="eastAsia" w:ascii="仿宋_GB2312" w:hAnsi="仿宋_GB2312" w:eastAsia="仿宋_GB2312" w:cs="仿宋_GB2312"/>
          <w:color w:val="auto"/>
          <w:highlight w:val="none"/>
          <w:lang w:val="en-US" w:eastAsia="zh-CN"/>
        </w:rPr>
      </w:pPr>
    </w:p>
    <w:p w14:paraId="5807A53F">
      <w:pPr>
        <w:keepNext w:val="0"/>
        <w:keepLines w:val="0"/>
        <w:pageBreakBefore w:val="0"/>
        <w:widowControl w:val="0"/>
        <w:numPr>
          <w:ilvl w:val="1"/>
          <w:numId w:val="0"/>
        </w:numPr>
        <w:kinsoku/>
        <w:wordWrap/>
        <w:overflowPunct/>
        <w:topLinePunct w:val="0"/>
        <w:autoSpaceDE/>
        <w:autoSpaceDN/>
        <w:bidi w:val="0"/>
        <w:spacing w:line="560" w:lineRule="exact"/>
        <w:ind w:left="640" w:leftChars="0"/>
        <w:textAlignment w:val="auto"/>
        <w:rPr>
          <w:rFonts w:hint="eastAsia" w:ascii="仿宋_GB2312" w:hAnsi="仿宋_GB2312" w:eastAsia="仿宋_GB2312" w:cs="仿宋_GB2312"/>
          <w:color w:val="auto"/>
          <w:highlight w:val="none"/>
          <w:u w:val="single"/>
          <w:lang w:val="en-US" w:eastAsia="zh-CN"/>
        </w:rPr>
      </w:pPr>
      <w:r>
        <w:rPr>
          <w:rFonts w:hint="eastAsia" w:ascii="仿宋_GB2312" w:hAnsi="仿宋_GB2312" w:cs="仿宋_GB2312"/>
          <w:color w:val="auto"/>
          <w:highlight w:val="none"/>
          <w:lang w:val="en-US" w:eastAsia="zh-CN"/>
        </w:rPr>
        <w:t>甲方</w:t>
      </w:r>
      <w:r>
        <w:rPr>
          <w:rFonts w:hint="eastAsia" w:ascii="仿宋_GB2312" w:hAnsi="仿宋_GB2312" w:eastAsia="仿宋_GB2312" w:cs="仿宋_GB2312"/>
          <w:color w:val="auto"/>
          <w:highlight w:val="none"/>
          <w:lang w:val="en-US" w:eastAsia="zh-CN"/>
        </w:rPr>
        <w:t>：</w:t>
      </w:r>
      <w:r>
        <w:rPr>
          <w:rFonts w:hint="eastAsia" w:ascii="仿宋_GB2312" w:hAnsi="仿宋_GB2312" w:cs="仿宋_GB2312"/>
          <w:color w:val="auto"/>
          <w:highlight w:val="none"/>
          <w:u w:val="single"/>
          <w:lang w:val="en-US" w:eastAsia="zh-CN"/>
        </w:rPr>
        <w:t xml:space="preserve">  </w:t>
      </w:r>
      <w:r>
        <w:rPr>
          <w:rFonts w:hint="eastAsia" w:ascii="仿宋_GB2312" w:hAnsi="仿宋_GB2312" w:eastAsia="仿宋_GB2312" w:cs="仿宋_GB2312"/>
          <w:b w:val="0"/>
          <w:bCs w:val="0"/>
          <w:color w:val="auto"/>
          <w:sz w:val="32"/>
          <w:szCs w:val="32"/>
          <w:highlight w:val="none"/>
          <w:u w:val="single"/>
          <w:lang w:val="en-US" w:eastAsia="zh-CN"/>
        </w:rPr>
        <w:t>广东省电力负荷管理中心</w:t>
      </w:r>
      <w:r>
        <w:rPr>
          <w:rFonts w:hint="eastAsia" w:ascii="仿宋_GB2312" w:hAnsi="仿宋_GB2312" w:cs="仿宋_GB2312"/>
          <w:color w:val="auto"/>
          <w:highlight w:val="none"/>
          <w:u w:val="single"/>
          <w:lang w:val="en-US" w:eastAsia="zh-CN"/>
        </w:rPr>
        <w:t xml:space="preserve">    </w:t>
      </w:r>
      <w:r>
        <w:rPr>
          <w:rFonts w:hint="eastAsia" w:ascii="仿宋_GB2312" w:hAnsi="仿宋_GB2312" w:eastAsia="仿宋_GB2312" w:cs="仿宋_GB2312"/>
          <w:color w:val="auto"/>
          <w:highlight w:val="none"/>
          <w:u w:val="single"/>
          <w:lang w:val="en-US" w:eastAsia="zh-CN"/>
        </w:rPr>
        <w:t xml:space="preserve"> </w:t>
      </w:r>
    </w:p>
    <w:p w14:paraId="3F7101CE">
      <w:pPr>
        <w:keepNext w:val="0"/>
        <w:keepLines w:val="0"/>
        <w:pageBreakBefore w:val="0"/>
        <w:widowControl w:val="0"/>
        <w:numPr>
          <w:ilvl w:val="1"/>
          <w:numId w:val="0"/>
        </w:numPr>
        <w:kinsoku/>
        <w:wordWrap/>
        <w:overflowPunct/>
        <w:topLinePunct w:val="0"/>
        <w:autoSpaceDE/>
        <w:autoSpaceDN/>
        <w:bidi w:val="0"/>
        <w:spacing w:line="560" w:lineRule="exact"/>
        <w:ind w:left="0" w:leftChars="0" w:firstLine="0" w:firstLineChars="0"/>
        <w:jc w:val="center"/>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（盖章）</w:t>
      </w:r>
    </w:p>
    <w:p w14:paraId="411E3DB7">
      <w:pPr>
        <w:keepNext w:val="0"/>
        <w:keepLines w:val="0"/>
        <w:pageBreakBefore w:val="0"/>
        <w:widowControl w:val="0"/>
        <w:numPr>
          <w:ilvl w:val="1"/>
          <w:numId w:val="0"/>
        </w:numPr>
        <w:kinsoku/>
        <w:wordWrap/>
        <w:overflowPunct/>
        <w:topLinePunct w:val="0"/>
        <w:autoSpaceDE/>
        <w:autoSpaceDN/>
        <w:bidi w:val="0"/>
        <w:spacing w:line="560" w:lineRule="exact"/>
        <w:ind w:left="640" w:leftChars="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法定代表人（负责人）或委托代理人：</w:t>
      </w:r>
    </w:p>
    <w:p w14:paraId="4F261CE1">
      <w:pPr>
        <w:keepNext w:val="0"/>
        <w:keepLines w:val="0"/>
        <w:pageBreakBefore w:val="0"/>
        <w:widowControl w:val="0"/>
        <w:numPr>
          <w:ilvl w:val="1"/>
          <w:numId w:val="0"/>
        </w:numPr>
        <w:kinsoku/>
        <w:wordWrap/>
        <w:overflowPunct/>
        <w:topLinePunct w:val="0"/>
        <w:autoSpaceDE/>
        <w:autoSpaceDN/>
        <w:bidi w:val="0"/>
        <w:spacing w:line="560" w:lineRule="exact"/>
        <w:textAlignment w:val="auto"/>
        <w:rPr>
          <w:rFonts w:hint="eastAsia" w:ascii="仿宋_GB2312" w:hAnsi="仿宋_GB2312" w:eastAsia="仿宋_GB2312" w:cs="仿宋_GB2312"/>
          <w:color w:val="auto"/>
          <w:highlight w:val="none"/>
          <w:lang w:val="en-US" w:eastAsia="zh-CN"/>
        </w:rPr>
      </w:pPr>
    </w:p>
    <w:p w14:paraId="12F73D73">
      <w:pPr>
        <w:pStyle w:val="12"/>
        <w:keepNext w:val="0"/>
        <w:keepLines w:val="0"/>
        <w:pageBreakBefore w:val="0"/>
        <w:widowControl w:val="0"/>
        <w:kinsoku/>
        <w:wordWrap/>
        <w:overflowPunct/>
        <w:topLinePunct w:val="0"/>
        <w:autoSpaceDE/>
        <w:autoSpaceDN/>
        <w:bidi w:val="0"/>
        <w:spacing w:line="560" w:lineRule="exact"/>
        <w:ind w:left="0" w:leftChars="0" w:firstLine="0" w:firstLineChars="0"/>
        <w:textAlignment w:val="auto"/>
        <w:rPr>
          <w:rFonts w:hint="eastAsia" w:ascii="仿宋_GB2312" w:hAnsi="仿宋_GB2312" w:eastAsia="仿宋_GB2312" w:cs="仿宋_GB2312"/>
          <w:color w:val="auto"/>
          <w:highlight w:val="none"/>
          <w:lang w:val="en-US" w:eastAsia="zh-CN"/>
        </w:rPr>
      </w:pPr>
    </w:p>
    <w:p w14:paraId="7B5755DE">
      <w:pPr>
        <w:keepNext w:val="0"/>
        <w:keepLines w:val="0"/>
        <w:pageBreakBefore w:val="0"/>
        <w:widowControl w:val="0"/>
        <w:numPr>
          <w:ilvl w:val="1"/>
          <w:numId w:val="0"/>
        </w:numPr>
        <w:kinsoku/>
        <w:wordWrap/>
        <w:overflowPunct/>
        <w:topLinePunct w:val="0"/>
        <w:autoSpaceDE/>
        <w:autoSpaceDN/>
        <w:bidi w:val="0"/>
        <w:spacing w:line="560" w:lineRule="exact"/>
        <w:ind w:left="0" w:leftChars="0" w:firstLine="640" w:firstLineChars="200"/>
        <w:textAlignment w:val="auto"/>
        <w:rPr>
          <w:rFonts w:hint="default" w:ascii="仿宋_GB2312" w:hAnsi="仿宋_GB2312" w:eastAsia="仿宋_GB2312" w:cs="仿宋_GB2312"/>
          <w:color w:val="auto"/>
          <w:highlight w:val="none"/>
          <w:u w:val="single"/>
          <w:lang w:val="en-US" w:eastAsia="zh-CN"/>
        </w:rPr>
      </w:pPr>
      <w:r>
        <w:rPr>
          <w:rFonts w:hint="eastAsia" w:ascii="仿宋_GB2312" w:hAnsi="仿宋_GB2312" w:cs="仿宋_GB2312"/>
          <w:color w:val="auto"/>
          <w:highlight w:val="none"/>
          <w:lang w:val="en-US" w:eastAsia="zh-CN"/>
        </w:rPr>
        <w:t>乙方</w:t>
      </w:r>
      <w:r>
        <w:rPr>
          <w:rFonts w:hint="eastAsia" w:ascii="仿宋_GB2312" w:hAnsi="仿宋_GB2312" w:eastAsia="仿宋_GB2312" w:cs="仿宋_GB2312"/>
          <w:color w:val="auto"/>
          <w:highlight w:val="none"/>
          <w:lang w:val="en-US" w:eastAsia="zh-CN"/>
        </w:rPr>
        <w:t>：</w:t>
      </w:r>
      <w:r>
        <w:rPr>
          <w:rFonts w:hint="eastAsia" w:ascii="仿宋_GB2312" w:hAnsi="仿宋_GB2312" w:cs="仿宋_GB2312"/>
          <w:color w:val="auto"/>
          <w:highlight w:val="none"/>
          <w:u w:val="single"/>
          <w:lang w:val="en-US" w:eastAsia="zh-CN"/>
        </w:rPr>
        <w:t xml:space="preserve">                              </w:t>
      </w:r>
    </w:p>
    <w:p w14:paraId="4838FE4D">
      <w:pPr>
        <w:keepNext w:val="0"/>
        <w:keepLines w:val="0"/>
        <w:pageBreakBefore w:val="0"/>
        <w:widowControl w:val="0"/>
        <w:numPr>
          <w:ilvl w:val="1"/>
          <w:numId w:val="0"/>
        </w:numPr>
        <w:kinsoku/>
        <w:wordWrap/>
        <w:overflowPunct/>
        <w:topLinePunct w:val="0"/>
        <w:autoSpaceDE/>
        <w:autoSpaceDN/>
        <w:bidi w:val="0"/>
        <w:spacing w:line="560" w:lineRule="exact"/>
        <w:ind w:left="0" w:leftChars="0" w:firstLine="0" w:firstLineChars="0"/>
        <w:jc w:val="center"/>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（盖章）</w:t>
      </w:r>
    </w:p>
    <w:p w14:paraId="0B097682">
      <w:pPr>
        <w:keepNext w:val="0"/>
        <w:keepLines w:val="0"/>
        <w:pageBreakBefore w:val="0"/>
        <w:widowControl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 xml:space="preserve">法定代表人（负责人）或委托代理人：    </w:t>
      </w:r>
    </w:p>
    <w:p w14:paraId="55C973B7">
      <w:pPr>
        <w:keepNext w:val="0"/>
        <w:keepLines w:val="0"/>
        <w:pageBreakBefore w:val="0"/>
        <w:widowControl w:val="0"/>
        <w:numPr>
          <w:ilvl w:val="1"/>
          <w:numId w:val="0"/>
        </w:numPr>
        <w:kinsoku/>
        <w:wordWrap/>
        <w:overflowPunct/>
        <w:topLinePunct w:val="0"/>
        <w:autoSpaceDE/>
        <w:autoSpaceDN/>
        <w:bidi w:val="0"/>
        <w:spacing w:line="560" w:lineRule="exact"/>
        <w:textAlignment w:val="auto"/>
        <w:rPr>
          <w:rFonts w:hint="eastAsia" w:ascii="仿宋_GB2312" w:hAnsi="仿宋_GB2312" w:eastAsia="仿宋_GB2312" w:cs="仿宋_GB2312"/>
          <w:color w:val="auto"/>
          <w:highlight w:val="none"/>
          <w:lang w:val="en-US" w:eastAsia="zh-CN"/>
        </w:rPr>
      </w:pPr>
    </w:p>
    <w:p w14:paraId="6D0E6C57">
      <w:pPr>
        <w:keepNext w:val="0"/>
        <w:keepLines w:val="0"/>
        <w:pageBreakBefore w:val="0"/>
        <w:widowControl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签约时间：    年  月  日</w:t>
      </w:r>
    </w:p>
    <w:p w14:paraId="574ACA91">
      <w:pPr>
        <w:keepNext w:val="0"/>
        <w:keepLines w:val="0"/>
        <w:pageBreakBefore w:val="0"/>
        <w:widowControl w:val="0"/>
        <w:numPr>
          <w:ilvl w:val="1"/>
          <w:numId w:val="0"/>
        </w:numPr>
        <w:kinsoku/>
        <w:wordWrap/>
        <w:overflowPunct/>
        <w:topLinePunct w:val="0"/>
        <w:autoSpaceDE/>
        <w:autoSpaceDN/>
        <w:bidi w:val="0"/>
        <w:spacing w:line="560" w:lineRule="exact"/>
        <w:ind w:left="0" w:leftChars="0" w:firstLine="640" w:firstLineChars="200"/>
        <w:textAlignment w:val="auto"/>
        <w:rPr>
          <w:rFonts w:hint="eastAsia" w:ascii="仿宋_GB2312" w:hAnsi="仿宋_GB2312" w:eastAsia="仿宋_GB2312" w:cs="仿宋_GB2312"/>
          <w:color w:val="auto"/>
          <w:highlight w:val="none"/>
          <w:lang w:val="en-US" w:eastAsia="zh-CN"/>
        </w:rPr>
      </w:pPr>
      <w:r>
        <w:rPr>
          <w:rFonts w:hint="eastAsia" w:ascii="仿宋_GB2312" w:hAnsi="仿宋_GB2312" w:eastAsia="仿宋_GB2312" w:cs="仿宋_GB2312"/>
          <w:color w:val="auto"/>
          <w:highlight w:val="none"/>
          <w:lang w:val="en-US" w:eastAsia="zh-CN"/>
        </w:rPr>
        <w:t>签约地点：</w:t>
      </w:r>
      <w:r>
        <w:rPr>
          <w:rFonts w:hint="eastAsia" w:ascii="仿宋_GB2312" w:hAnsi="仿宋_GB2312" w:eastAsia="仿宋_GB2312" w:cs="仿宋_GB2312"/>
          <w:color w:val="auto"/>
          <w:highlight w:val="none"/>
          <w:lang w:val="en-US" w:eastAsia="zh-CN"/>
        </w:rPr>
        <w:tab/>
      </w:r>
    </w:p>
    <w:sectPr>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640"/>
      </w:pPr>
      <w:r>
        <w:separator/>
      </w:r>
    </w:p>
  </w:endnote>
  <w:endnote w:type="continuationSeparator" w:id="1">
    <w:p>
      <w:pPr>
        <w:spacing w:line="240" w:lineRule="auto"/>
        <w:ind w:firstLine="64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8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embedRegular r:id="rId1" w:fontKey="{7E9E2BB3-983E-475C-BB39-2D7D0B26142D}"/>
  </w:font>
  <w:font w:name="黑体">
    <w:panose1 w:val="02010609060101010101"/>
    <w:charset w:val="86"/>
    <w:family w:val="auto"/>
    <w:pitch w:val="default"/>
    <w:sig w:usb0="800002BF" w:usb1="38CF7CFA" w:usb2="00000016" w:usb3="00000000" w:csb0="00040001" w:csb1="00000000"/>
    <w:embedRegular r:id="rId2" w:fontKey="{1892DD8F-FCAF-4936-9F40-8135759EC5C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3" w:fontKey="{2A92851F-64D1-4FE5-A324-0CFE903C94BB}"/>
  </w:font>
  <w:font w:name="Calibri Light">
    <w:panose1 w:val="020F0302020204030204"/>
    <w:charset w:val="00"/>
    <w:family w:val="auto"/>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方正小标宋_GBK">
    <w:panose1 w:val="02000000000000000000"/>
    <w:charset w:val="86"/>
    <w:family w:val="script"/>
    <w:pitch w:val="default"/>
    <w:sig w:usb0="A00002BF" w:usb1="38CF7CFA" w:usb2="00082016" w:usb3="00000000" w:csb0="00040001" w:csb1="00000000"/>
    <w:embedRegular r:id="rId4" w:fontKey="{C558ACA5-5724-43C8-AFD2-DE10E7A75616}"/>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640"/>
      </w:pPr>
      <w:r>
        <w:separator/>
      </w:r>
    </w:p>
  </w:footnote>
  <w:footnote w:type="continuationSeparator" w:id="1">
    <w:p>
      <w:pPr>
        <w:spacing w:line="240" w:lineRule="auto"/>
        <w:ind w:firstLine="640"/>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C251235A"/>
    <w:multiLevelType w:val="singleLevel"/>
    <w:tmpl w:val="C251235A"/>
    <w:lvl w:ilvl="0" w:tentative="0">
      <w:start w:val="1"/>
      <w:numFmt w:val="decimal"/>
      <w:suff w:val="nothing"/>
      <w:lvlText w:val="%1."/>
      <w:lvlJc w:val="left"/>
      <w:pPr>
        <w:ind w:left="454" w:hanging="454"/>
      </w:pPr>
      <w:rPr>
        <w:rFonts w:hint="default" w:ascii="仿宋_GB2312" w:hAnsi="仿宋_GB2312" w:eastAsia="仿宋_GB2312" w:cs="仿宋_GB2312"/>
        <w:color w:val="auto"/>
      </w:rPr>
    </w:lvl>
  </w:abstractNum>
  <w:abstractNum w:abstractNumId="1">
    <w:nsid w:val="0E351DB7"/>
    <w:multiLevelType w:val="multilevel"/>
    <w:tmpl w:val="0E351DB7"/>
    <w:lvl w:ilvl="0" w:tentative="0">
      <w:start w:val="1"/>
      <w:numFmt w:val="decimal"/>
      <w:pStyle w:val="5"/>
      <w:lvlText w:val="%1 "/>
      <w:lvlJc w:val="left"/>
      <w:pPr>
        <w:tabs>
          <w:tab w:val="left" w:pos="420"/>
        </w:tabs>
        <w:ind w:left="425" w:leftChars="0" w:hanging="425" w:firstLineChars="0"/>
      </w:pPr>
      <w:rPr>
        <w:rFonts w:hint="default" w:ascii="黑体" w:hAnsi="黑体" w:eastAsia="黑体" w:cs="黑体"/>
      </w:rPr>
    </w:lvl>
    <w:lvl w:ilvl="1" w:tentative="0">
      <w:start w:val="1"/>
      <w:numFmt w:val="decimal"/>
      <w:pStyle w:val="6"/>
      <w:suff w:val="space"/>
      <w:lvlText w:val="%1.%2"/>
      <w:lvlJc w:val="left"/>
      <w:pPr>
        <w:tabs>
          <w:tab w:val="left" w:pos="0"/>
        </w:tabs>
        <w:ind w:left="0" w:leftChars="0" w:firstLine="0" w:firstLineChars="0"/>
      </w:pPr>
      <w:rPr>
        <w:rFonts w:hint="default" w:ascii="黑体" w:hAnsi="黑体" w:eastAsia="黑体" w:cs="黑体"/>
      </w:rPr>
    </w:lvl>
    <w:lvl w:ilvl="2" w:tentative="0">
      <w:start w:val="1"/>
      <w:numFmt w:val="decimal"/>
      <w:pStyle w:val="7"/>
      <w:suff w:val="space"/>
      <w:lvlText w:val="%1.%2.%3"/>
      <w:lvlJc w:val="left"/>
      <w:pPr>
        <w:tabs>
          <w:tab w:val="left" w:pos="0"/>
        </w:tabs>
        <w:ind w:left="0" w:leftChars="0" w:firstLine="0" w:firstLineChars="0"/>
      </w:pPr>
      <w:rPr>
        <w:rFonts w:hint="default" w:ascii="黑体" w:hAnsi="黑体" w:eastAsia="黑体" w:cs="宋体"/>
        <w:b w:val="0"/>
        <w:bCs w:val="0"/>
      </w:rPr>
    </w:lvl>
    <w:lvl w:ilvl="3" w:tentative="0">
      <w:start w:val="1"/>
      <w:numFmt w:val="decimal"/>
      <w:pStyle w:val="8"/>
      <w:suff w:val="space"/>
      <w:lvlText w:val="%1.%2.%3.%4"/>
      <w:lvlJc w:val="left"/>
      <w:pPr>
        <w:tabs>
          <w:tab w:val="left" w:pos="0"/>
        </w:tabs>
        <w:ind w:left="0" w:leftChars="0" w:firstLine="0" w:firstLineChars="0"/>
      </w:pPr>
      <w:rPr>
        <w:rFonts w:hint="default" w:ascii="黑体" w:hAnsi="黑体" w:eastAsia="黑体" w:cs="宋体"/>
      </w:rPr>
    </w:lvl>
    <w:lvl w:ilvl="4" w:tentative="0">
      <w:start w:val="1"/>
      <w:numFmt w:val="decimal"/>
      <w:pStyle w:val="9"/>
      <w:suff w:val="space"/>
      <w:lvlText w:val="%1.%2.%3.%4.%5"/>
      <w:lvlJc w:val="left"/>
      <w:pPr>
        <w:tabs>
          <w:tab w:val="left" w:pos="420"/>
        </w:tabs>
        <w:ind w:left="0" w:leftChars="0" w:firstLine="0" w:firstLineChars="0"/>
      </w:pPr>
      <w:rPr>
        <w:rFonts w:hint="default" w:ascii="宋体" w:hAnsi="宋体" w:eastAsia="宋体" w:cs="Times New Roman"/>
      </w:rPr>
    </w:lvl>
    <w:lvl w:ilvl="5" w:tentative="0">
      <w:start w:val="1"/>
      <w:numFmt w:val="decimal"/>
      <w:lvlText w:val="%1.%2.%3.%4.%5.%6."/>
      <w:lvlJc w:val="left"/>
      <w:pPr>
        <w:ind w:left="1134" w:hanging="1134"/>
      </w:pPr>
      <w:rPr>
        <w:rFonts w:hint="default"/>
      </w:rPr>
    </w:lvl>
    <w:lvl w:ilvl="6" w:tentative="0">
      <w:start w:val="1"/>
      <w:numFmt w:val="decimal"/>
      <w:lvlText w:val="%1.%2.%3.%4.%5.%6.%7."/>
      <w:lvlJc w:val="left"/>
      <w:pPr>
        <w:ind w:left="1275" w:hanging="1275"/>
      </w:pPr>
      <w:rPr>
        <w:rFonts w:hint="default"/>
      </w:rPr>
    </w:lvl>
    <w:lvl w:ilvl="7" w:tentative="0">
      <w:start w:val="1"/>
      <w:numFmt w:val="decimal"/>
      <w:lvlText w:val="%1.%2.%3.%4.%5.%6.%7.%8."/>
      <w:lvlJc w:val="left"/>
      <w:pPr>
        <w:ind w:left="1418" w:hanging="1418"/>
      </w:pPr>
      <w:rPr>
        <w:rFonts w:hint="default"/>
      </w:rPr>
    </w:lvl>
    <w:lvl w:ilvl="8" w:tentative="0">
      <w:start w:val="1"/>
      <w:numFmt w:val="decimal"/>
      <w:lvlText w:val="%1.%2.%3.%4.%5.%6.%7.%8.%9."/>
      <w:lvlJc w:val="left"/>
      <w:pPr>
        <w:ind w:left="1558" w:hanging="1558"/>
      </w:pPr>
      <w:rPr>
        <w:rFonts w:hint="default"/>
      </w:rPr>
    </w:lvl>
  </w:abstractNum>
  <w:abstractNum w:abstractNumId="2">
    <w:nsid w:val="68C2E228"/>
    <w:multiLevelType w:val="singleLevel"/>
    <w:tmpl w:val="68C2E228"/>
    <w:lvl w:ilvl="0" w:tentative="0">
      <w:start w:val="1"/>
      <w:numFmt w:val="decimal"/>
      <w:suff w:val="nothing"/>
      <w:lvlText w:val="%1."/>
      <w:lvlJc w:val="left"/>
      <w:pPr>
        <w:ind w:left="456" w:hanging="454"/>
      </w:pPr>
      <w:rPr>
        <w:rFonts w:hint="default" w:ascii="仿宋_GB2312" w:hAnsi="仿宋_GB2312" w:eastAsia="仿宋_GB2312" w:cs="仿宋_GB2312"/>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5"/>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E1A2A71"/>
    <w:rsid w:val="05C24D91"/>
    <w:rsid w:val="0E1A2A71"/>
    <w:rsid w:val="0FBF5566"/>
    <w:rsid w:val="117F0DAA"/>
    <w:rsid w:val="12787937"/>
    <w:rsid w:val="1BAC6E16"/>
    <w:rsid w:val="213D4B16"/>
    <w:rsid w:val="271138C5"/>
    <w:rsid w:val="2BD7154F"/>
    <w:rsid w:val="3214114D"/>
    <w:rsid w:val="3CB07817"/>
    <w:rsid w:val="40682937"/>
    <w:rsid w:val="48854BC2"/>
    <w:rsid w:val="4DBC66FF"/>
    <w:rsid w:val="4F777782"/>
    <w:rsid w:val="6DA264E7"/>
    <w:rsid w:val="735B000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both"/>
    </w:pPr>
    <w:rPr>
      <w:rFonts w:ascii="Times New Roman" w:hAnsi="Times New Roman" w:eastAsia="仿宋_GB2312" w:cs="Times New Roman"/>
      <w:kern w:val="2"/>
      <w:sz w:val="32"/>
      <w:szCs w:val="22"/>
      <w:lang w:val="en-US" w:eastAsia="zh-CN" w:bidi="ar-SA"/>
    </w:rPr>
  </w:style>
  <w:style w:type="paragraph" w:styleId="5">
    <w:name w:val="heading 1"/>
    <w:basedOn w:val="1"/>
    <w:next w:val="1"/>
    <w:qFormat/>
    <w:uiPriority w:val="0"/>
    <w:pPr>
      <w:keepNext/>
      <w:keepLines/>
      <w:numPr>
        <w:ilvl w:val="0"/>
        <w:numId w:val="1"/>
      </w:numPr>
      <w:tabs>
        <w:tab w:val="left" w:pos="0"/>
      </w:tabs>
      <w:adjustRightInd w:val="0"/>
      <w:spacing w:beforeLines="0" w:beforeAutospacing="0" w:afterLines="0" w:afterAutospacing="0" w:line="360" w:lineRule="auto"/>
      <w:ind w:left="425" w:hanging="425" w:firstLineChars="0"/>
      <w:jc w:val="left"/>
      <w:outlineLvl w:val="0"/>
    </w:pPr>
    <w:rPr>
      <w:rFonts w:ascii="黑体" w:hAnsi="黑体" w:eastAsia="黑体" w:cs="黑体"/>
      <w:b/>
      <w:kern w:val="44"/>
      <w:sz w:val="21"/>
    </w:rPr>
  </w:style>
  <w:style w:type="paragraph" w:styleId="6">
    <w:name w:val="heading 2"/>
    <w:basedOn w:val="1"/>
    <w:next w:val="1"/>
    <w:semiHidden/>
    <w:unhideWhenUsed/>
    <w:qFormat/>
    <w:uiPriority w:val="0"/>
    <w:pPr>
      <w:keepNext/>
      <w:keepLines/>
      <w:numPr>
        <w:ilvl w:val="1"/>
        <w:numId w:val="1"/>
      </w:numPr>
      <w:adjustRightInd w:val="0"/>
      <w:snapToGrid w:val="0"/>
      <w:spacing w:beforeLines="0" w:beforeAutospacing="0" w:afterLines="0" w:afterAutospacing="0" w:line="360" w:lineRule="auto"/>
      <w:ind w:left="0" w:firstLine="0" w:firstLineChars="0"/>
      <w:jc w:val="left"/>
      <w:outlineLvl w:val="1"/>
    </w:pPr>
    <w:rPr>
      <w:rFonts w:ascii="黑体" w:hAnsi="黑体" w:eastAsia="黑体"/>
    </w:rPr>
  </w:style>
  <w:style w:type="paragraph" w:styleId="7">
    <w:name w:val="heading 3"/>
    <w:basedOn w:val="1"/>
    <w:next w:val="1"/>
    <w:semiHidden/>
    <w:unhideWhenUsed/>
    <w:qFormat/>
    <w:uiPriority w:val="0"/>
    <w:pPr>
      <w:keepNext/>
      <w:keepLines/>
      <w:numPr>
        <w:ilvl w:val="2"/>
        <w:numId w:val="1"/>
      </w:numPr>
      <w:tabs>
        <w:tab w:val="left" w:pos="420"/>
        <w:tab w:val="clear" w:pos="0"/>
      </w:tabs>
      <w:spacing w:beforeLines="0" w:beforeAutospacing="0" w:afterLines="0" w:afterAutospacing="0" w:line="360" w:lineRule="auto"/>
      <w:ind w:left="0" w:firstLine="0" w:firstLineChars="0"/>
      <w:outlineLvl w:val="2"/>
    </w:pPr>
    <w:rPr>
      <w:rFonts w:eastAsia="黑体"/>
    </w:rPr>
  </w:style>
  <w:style w:type="paragraph" w:styleId="8">
    <w:name w:val="heading 4"/>
    <w:basedOn w:val="1"/>
    <w:next w:val="1"/>
    <w:semiHidden/>
    <w:unhideWhenUsed/>
    <w:qFormat/>
    <w:uiPriority w:val="0"/>
    <w:pPr>
      <w:keepNext/>
      <w:keepLines/>
      <w:numPr>
        <w:ilvl w:val="3"/>
        <w:numId w:val="1"/>
      </w:numPr>
      <w:spacing w:before="280" w:beforeLines="0" w:beforeAutospacing="0" w:after="290" w:afterLines="0" w:afterAutospacing="0" w:line="372" w:lineRule="auto"/>
      <w:ind w:firstLine="0" w:firstLineChars="0"/>
      <w:outlineLvl w:val="3"/>
    </w:pPr>
    <w:rPr>
      <w:rFonts w:ascii="Arial" w:hAnsi="Arial" w:eastAsia="黑体"/>
      <w:b/>
      <w:sz w:val="28"/>
    </w:rPr>
  </w:style>
  <w:style w:type="paragraph" w:styleId="9">
    <w:name w:val="heading 5"/>
    <w:basedOn w:val="1"/>
    <w:next w:val="1"/>
    <w:semiHidden/>
    <w:unhideWhenUsed/>
    <w:qFormat/>
    <w:uiPriority w:val="0"/>
    <w:pPr>
      <w:keepNext/>
      <w:keepLines/>
      <w:numPr>
        <w:ilvl w:val="4"/>
        <w:numId w:val="1"/>
      </w:numPr>
      <w:spacing w:before="280" w:beforeLines="0" w:beforeAutospacing="0" w:after="290" w:afterLines="0" w:afterAutospacing="0" w:line="372" w:lineRule="auto"/>
      <w:ind w:firstLine="0" w:firstLineChars="0"/>
      <w:outlineLvl w:val="4"/>
    </w:pPr>
    <w:rPr>
      <w:b/>
      <w:sz w:val="28"/>
    </w:rPr>
  </w:style>
  <w:style w:type="character" w:default="1" w:styleId="14">
    <w:name w:val="Default Paragraph Font"/>
    <w:semiHidden/>
    <w:qFormat/>
    <w:uiPriority w:val="0"/>
  </w:style>
  <w:style w:type="table" w:default="1" w:styleId="13">
    <w:name w:val="Normal Table"/>
    <w:semiHidden/>
    <w:qFormat/>
    <w:uiPriority w:val="0"/>
    <w:tblPr>
      <w:tblCellMar>
        <w:top w:w="0" w:type="dxa"/>
        <w:left w:w="108" w:type="dxa"/>
        <w:bottom w:w="0" w:type="dxa"/>
        <w:right w:w="108" w:type="dxa"/>
      </w:tblCellMar>
    </w:tblPr>
  </w:style>
  <w:style w:type="paragraph" w:styleId="2">
    <w:name w:val="Body Text First Indent 2"/>
    <w:basedOn w:val="3"/>
    <w:next w:val="1"/>
    <w:unhideWhenUsed/>
    <w:qFormat/>
    <w:uiPriority w:val="0"/>
    <w:pPr>
      <w:ind w:left="0" w:leftChars="0" w:firstLine="420"/>
    </w:pPr>
  </w:style>
  <w:style w:type="paragraph" w:styleId="3">
    <w:name w:val="Body Text Indent"/>
    <w:basedOn w:val="1"/>
    <w:next w:val="4"/>
    <w:qFormat/>
    <w:uiPriority w:val="0"/>
    <w:pPr>
      <w:spacing w:after="120"/>
      <w:ind w:left="420" w:leftChars="200" w:firstLine="200" w:firstLineChars="200"/>
    </w:pPr>
    <w:rPr>
      <w:rFonts w:ascii="Times New Roman" w:hAnsi="Times New Roman" w:eastAsia="宋体" w:cs="Times New Roman"/>
    </w:rPr>
  </w:style>
  <w:style w:type="paragraph" w:styleId="4">
    <w:name w:val="envelope return"/>
    <w:basedOn w:val="1"/>
    <w:unhideWhenUsed/>
    <w:qFormat/>
    <w:uiPriority w:val="99"/>
    <w:pPr>
      <w:snapToGrid w:val="0"/>
    </w:pPr>
    <w:rPr>
      <w:rFonts w:ascii="Calibri Light" w:hAnsi="Calibri Light"/>
    </w:rPr>
  </w:style>
  <w:style w:type="paragraph" w:styleId="10">
    <w:name w:val="Body Text"/>
    <w:basedOn w:val="11"/>
    <w:next w:val="11"/>
    <w:qFormat/>
    <w:uiPriority w:val="0"/>
    <w:pPr>
      <w:spacing w:after="120" w:afterLines="0" w:afterAutospacing="0"/>
    </w:pPr>
  </w:style>
  <w:style w:type="paragraph" w:styleId="11">
    <w:name w:val="Title"/>
    <w:basedOn w:val="1"/>
    <w:next w:val="1"/>
    <w:qFormat/>
    <w:uiPriority w:val="10"/>
    <w:pPr>
      <w:widowControl/>
      <w:numPr>
        <w:ilvl w:val="1"/>
        <w:numId w:val="0"/>
      </w:numPr>
      <w:adjustRightInd w:val="0"/>
      <w:snapToGrid w:val="0"/>
      <w:spacing w:before="240" w:after="60" w:line="276" w:lineRule="auto"/>
      <w:ind w:firstLine="640" w:firstLineChars="200"/>
      <w:jc w:val="left"/>
      <w:outlineLvl w:val="0"/>
    </w:pPr>
    <w:rPr>
      <w:rFonts w:ascii="Arial" w:hAnsi="Arial" w:eastAsia="黑体" w:cs="Arial"/>
      <w:b/>
      <w:bCs/>
      <w:kern w:val="2"/>
      <w:sz w:val="32"/>
      <w:szCs w:val="32"/>
      <w:lang w:val="en-US" w:eastAsia="zh-CN" w:bidi="ar-SA"/>
    </w:rPr>
  </w:style>
  <w:style w:type="paragraph" w:styleId="12">
    <w:name w:val="index 1"/>
    <w:next w:val="1"/>
    <w:unhideWhenUsed/>
    <w:qFormat/>
    <w:uiPriority w:val="99"/>
    <w:pPr>
      <w:widowControl w:val="0"/>
      <w:numPr>
        <w:ilvl w:val="1"/>
        <w:numId w:val="0"/>
      </w:numPr>
      <w:adjustRightInd w:val="0"/>
      <w:snapToGrid w:val="0"/>
      <w:spacing w:line="360" w:lineRule="auto"/>
      <w:ind w:firstLine="880" w:firstLineChars="200"/>
      <w:jc w:val="both"/>
    </w:pPr>
    <w:rPr>
      <w:rFonts w:ascii="微软雅黑" w:hAnsi="微软雅黑" w:eastAsia="微软雅黑" w:cs="Times New Roman"/>
      <w:kern w:val="2"/>
      <w:sz w:val="21"/>
      <w:szCs w:val="21"/>
      <w:lang w:val="en-US" w:eastAsia="zh-CN"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2854</Words>
  <Characters>2906</Characters>
  <Lines>0</Lines>
  <Paragraphs>0</Paragraphs>
  <TotalTime>0</TotalTime>
  <ScaleCrop>false</ScaleCrop>
  <LinksUpToDate>false</LinksUpToDate>
  <CharactersWithSpaces>3054</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2025-06-04T00:50:00Z</dcterms:created>
  <dc:creator>彭晶晶</dc:creator>
  <cp:lastModifiedBy>administer</cp:lastModifiedBy>
  <dcterms:modified xsi:type="dcterms:W3CDTF">2025-07-02T06:34:32Z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E01BEA4E114F47D3B8785198E1CBAAE5_13</vt:lpwstr>
  </property>
  <property fmtid="{D5CDD505-2E9C-101B-9397-08002B2CF9AE}" pid="4" name="KSOTemplateDocerSaveRecord">
    <vt:lpwstr>eyJoZGlkIjoiNmFjZGExZDQzYTYxMzE0NjA4OTdhZDY0MDMzNGNkMTYiLCJ1c2VySWQiOiIzNDc1MDcwNjEifQ==</vt:lpwstr>
  </property>
</Properties>
</file>